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13AB130D" w14:textId="77777777">
      <w:pPr>
        <w:pStyle w:val="Title"/>
        <w:rPr>
          <w:caps w:val="0"/>
          <w:kern w:val="0"/>
        </w:rPr>
      </w:pPr>
      <w:r w:rsidRPr="00934B4C">
        <w:rPr>
          <w:caps w:val="0"/>
          <w:kern w:val="0"/>
        </w:rPr>
        <w:t>NOTIFICATION</w:t>
      </w:r>
    </w:p>
    <w:p w:rsidR="00AD0FDA" w:rsidRPr="00934B4C" w:rsidP="00934B4C" w14:paraId="25068A94" w14:textId="77777777">
      <w:pPr>
        <w:pStyle w:val="Title3"/>
      </w:pPr>
      <w:r w:rsidRPr="00934B4C">
        <w:t>Addendum</w:t>
      </w:r>
    </w:p>
    <w:p w:rsidR="007141CF" w:rsidRPr="00934B4C" w:rsidP="00934B4C" w14:paraId="06FF13BB" w14:textId="77777777">
      <w:r w:rsidRPr="00934B4C">
        <w:t xml:space="preserve">The following communication, received on </w:t>
      </w:r>
      <w:r w:rsidRPr="00934B4C">
        <w:t>13 February 2025</w:t>
      </w:r>
      <w:r w:rsidRPr="00934B4C">
        <w:t xml:space="preserve">, is being circulated at the request of the Delegation of </w:t>
      </w:r>
      <w:r w:rsidRPr="00934B4C">
        <w:rPr>
          <w:u w:val="single"/>
        </w:rPr>
        <w:t>Canada</w:t>
      </w:r>
      <w:r w:rsidRPr="00934B4C">
        <w:t>.</w:t>
      </w:r>
    </w:p>
    <w:p w:rsidR="00AD0FDA" w:rsidRPr="00934B4C" w:rsidP="00934B4C" w14:paraId="02A496BF" w14:textId="77777777"/>
    <w:p w:rsidR="00AD0FDA" w:rsidRPr="00934B4C" w:rsidP="00934B4C" w14:paraId="7F37DE7F" w14:textId="77777777">
      <w:pPr>
        <w:jc w:val="center"/>
        <w:rPr>
          <w:b/>
        </w:rPr>
      </w:pPr>
      <w:r w:rsidRPr="00934B4C">
        <w:rPr>
          <w:b/>
        </w:rPr>
        <w:t>_______________</w:t>
      </w:r>
    </w:p>
    <w:p w:rsidR="00AD0FDA" w:rsidRPr="00934B4C" w:rsidP="00934B4C" w14:paraId="1D5FA86D" w14:textId="77777777"/>
    <w:p w:rsidR="00AD0FDA" w:rsidRPr="00934B4C" w:rsidP="00934B4C" w14:paraId="79CD1292" w14:textId="77777777"/>
    <w:tbl>
      <w:tblPr>
        <w:tblW w:w="0" w:type="auto"/>
        <w:tblLayout w:type="fixed"/>
        <w:tblCellMar>
          <w:left w:w="0" w:type="dxa"/>
          <w:right w:w="115" w:type="dxa"/>
        </w:tblCellMar>
        <w:tblLook w:val="01E0"/>
      </w:tblPr>
      <w:tblGrid>
        <w:gridCol w:w="9242"/>
      </w:tblGrid>
      <w:tr w14:paraId="171F41C2" w14:textId="77777777" w:rsidTr="00D0271D">
        <w:tblPrEx>
          <w:tblW w:w="0" w:type="auto"/>
          <w:tblLayout w:type="fixed"/>
          <w:tblLook w:val="01E0"/>
        </w:tblPrEx>
        <w:tc>
          <w:tcPr>
            <w:tcW w:w="9242" w:type="dxa"/>
            <w:shd w:val="clear" w:color="auto" w:fill="auto"/>
          </w:tcPr>
          <w:p w:rsidR="00AD0FDA" w:rsidRPr="00934B4C" w:rsidP="00934B4C" w14:paraId="4B4E54FD" w14:textId="77777777">
            <w:pPr>
              <w:spacing w:after="240"/>
              <w:rPr>
                <w:u w:val="single"/>
              </w:rPr>
            </w:pPr>
            <w:r w:rsidRPr="00934B4C">
              <w:rPr>
                <w:u w:val="single"/>
              </w:rPr>
              <w:t xml:space="preserve">Modification to the </w:t>
            </w:r>
            <w:r w:rsidRPr="00934B4C">
              <w:rPr>
                <w:i/>
                <w:iCs/>
                <w:u w:val="single"/>
              </w:rPr>
              <w:t>List of Permitted Supplemental Ingredients</w:t>
            </w:r>
            <w:r w:rsidRPr="00934B4C">
              <w:rPr>
                <w:u w:val="single"/>
              </w:rPr>
              <w:t xml:space="preserve"> to enable the use of milk thistle seed extract (silymarin)</w:t>
            </w:r>
          </w:p>
        </w:tc>
      </w:tr>
      <w:tr w14:paraId="228D793E" w14:textId="77777777" w:rsidTr="00D0271D">
        <w:tblPrEx>
          <w:tblW w:w="0" w:type="auto"/>
          <w:tblLayout w:type="fixed"/>
          <w:tblLook w:val="01E0"/>
        </w:tblPrEx>
        <w:tc>
          <w:tcPr>
            <w:tcW w:w="9242" w:type="dxa"/>
            <w:shd w:val="clear" w:color="auto" w:fill="auto"/>
          </w:tcPr>
          <w:p w:rsidR="00AD0FDA" w:rsidRPr="00934B4C" w:rsidP="00934B4C" w14:paraId="252A6CC5" w14:textId="77777777">
            <w:pPr>
              <w:spacing w:after="240"/>
              <w:rPr>
                <w:u w:val="single"/>
              </w:rPr>
            </w:pPr>
            <w:r>
              <w:t xml:space="preserve">The purpose of this Notice is to inform consumers and interested stakeholders that Health Canada's Food and Nutrition Directorate has completed a safety assessment of milk thistle seed extract. As a result of this safety assessment, Health Canada has permitted the use of milk thistle seed extract derived from the seeds of milk thistle, </w:t>
            </w:r>
            <w:r>
              <w:rPr>
                <w:i/>
                <w:iCs/>
              </w:rPr>
              <w:t>Silybum marianum</w:t>
            </w:r>
            <w:r>
              <w:t xml:space="preserve"> (L.) Gaertn., and standardized according to the content of silymarin. The available toxicological and clinical evidence supports the safe consumption of milk thistle seed extract as a supplemental ingredient by the general population of healthy adults, up to the equivalent of 600 mg silymarin on a daily basis. Health Canada has concluded that milk thistle seed extract (silymarin), when used as a supplemental ingredient in accordance with the conditions of use outlined in Part IV of the </w:t>
            </w:r>
            <w:r>
              <w:rPr>
                <w:i/>
                <w:iCs/>
              </w:rPr>
              <w:t>List of Permitted Supplemental Ingredients</w:t>
            </w:r>
            <w:r>
              <w:t xml:space="preserve"> does not pose any toxicological or nutritional concerns. There is a potential for sensitization and/or allergic reactions associated with the ingestion of silymarin by individuals who have allergies to members of the aster (Asteraceae) plant family. Therefore, cautionary labelling to alert individuals with allergies to plants in the aster family is warranted.</w:t>
            </w:r>
          </w:p>
          <w:p w:rsidR="00765725" w:rsidP="00934B4C" w14:paraId="679B8B5E" w14:textId="77777777">
            <w:pPr>
              <w:spacing w:before="240" w:after="240"/>
            </w:pPr>
            <w:r>
              <w:t xml:space="preserve">The above modification came into force 30 January 2025 the day it was published in the </w:t>
            </w:r>
            <w:r>
              <w:rPr>
                <w:i/>
                <w:iCs/>
              </w:rPr>
              <w:t>List of Permitted Supplemental Ingredients</w:t>
            </w:r>
            <w:r>
              <w:t>.</w:t>
            </w:r>
          </w:p>
          <w:p w:rsidR="00765725" w:rsidP="00934B4C" w14:paraId="5C78D4ED" w14:textId="2422325B">
            <w:pPr>
              <w:spacing w:before="240" w:after="240"/>
            </w:pPr>
            <w:r>
              <w:t>Health Canada's Food and Nutrition Directorate is committed to reviewing new scientific information on the safety of permitted supplemental ingredients, including milk thistle seed extract (silymarin). Anyone wishing to submit an inquiry or new scientific information on the use of this supplemental ingredient may do may do so by regular mail or email.</w:t>
            </w:r>
          </w:p>
        </w:tc>
      </w:tr>
      <w:tr w14:paraId="11BF4650" w14:textId="77777777" w:rsidTr="00D0271D">
        <w:tblPrEx>
          <w:tblW w:w="0" w:type="auto"/>
          <w:tblLayout w:type="fixed"/>
          <w:tblLook w:val="01E0"/>
        </w:tblPrEx>
        <w:tc>
          <w:tcPr>
            <w:tcW w:w="9242" w:type="dxa"/>
            <w:shd w:val="clear" w:color="auto" w:fill="auto"/>
          </w:tcPr>
          <w:p w:rsidR="00AD0FDA" w:rsidRPr="00934B4C" w:rsidP="00934B4C" w14:paraId="2870FDA4" w14:textId="77777777">
            <w:pPr>
              <w:spacing w:after="240"/>
              <w:rPr>
                <w:b/>
              </w:rPr>
            </w:pPr>
            <w:r w:rsidRPr="00934B4C">
              <w:rPr>
                <w:b/>
              </w:rPr>
              <w:t>This addendum concerns a:</w:t>
            </w:r>
          </w:p>
        </w:tc>
      </w:tr>
      <w:tr w14:paraId="7B8E7764" w14:textId="77777777" w:rsidTr="00D0271D">
        <w:tblPrEx>
          <w:tblW w:w="0" w:type="auto"/>
          <w:tblLayout w:type="fixed"/>
          <w:tblLook w:val="01E0"/>
        </w:tblPrEx>
        <w:tc>
          <w:tcPr>
            <w:tcW w:w="9242" w:type="dxa"/>
            <w:shd w:val="clear" w:color="auto" w:fill="auto"/>
          </w:tcPr>
          <w:p w:rsidR="00AD0FDA" w:rsidRPr="00934B4C" w:rsidP="00934B4C" w14:paraId="71F91458" w14:textId="77777777">
            <w:pPr>
              <w:ind w:left="1440" w:hanging="873"/>
            </w:pPr>
            <w:r w:rsidRPr="00934B4C">
              <w:t xml:space="preserve">[ </w:t>
            </w:r>
            <w:r w:rsidRPr="00934B4C" w:rsidR="00C52DE3">
              <w:t>]</w:t>
            </w:r>
            <w:r w:rsidRPr="00934B4C" w:rsidR="00F342EB">
              <w:tab/>
            </w:r>
            <w:r w:rsidRPr="00934B4C">
              <w:t>Modification of final date for comments</w:t>
            </w:r>
          </w:p>
        </w:tc>
      </w:tr>
      <w:tr w14:paraId="131FC88A" w14:textId="77777777" w:rsidTr="00D0271D">
        <w:tblPrEx>
          <w:tblW w:w="0" w:type="auto"/>
          <w:tblLayout w:type="fixed"/>
          <w:tblLook w:val="01E0"/>
        </w:tblPrEx>
        <w:tc>
          <w:tcPr>
            <w:tcW w:w="9242" w:type="dxa"/>
            <w:shd w:val="clear" w:color="auto" w:fill="auto"/>
          </w:tcPr>
          <w:p w:rsidR="00AD0FDA" w:rsidRPr="00934B4C" w:rsidP="00934B4C" w14:paraId="2387283F"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1DC211C9" w14:textId="77777777" w:rsidTr="00D0271D">
        <w:tblPrEx>
          <w:tblW w:w="0" w:type="auto"/>
          <w:tblLayout w:type="fixed"/>
          <w:tblLook w:val="01E0"/>
        </w:tblPrEx>
        <w:tc>
          <w:tcPr>
            <w:tcW w:w="9242" w:type="dxa"/>
            <w:shd w:val="clear" w:color="auto" w:fill="auto"/>
          </w:tcPr>
          <w:p w:rsidR="00AD0FDA" w:rsidRPr="00934B4C" w:rsidP="00934B4C" w14:paraId="455D0CD5" w14:textId="77777777">
            <w:pPr>
              <w:ind w:left="1440" w:hanging="873"/>
            </w:pPr>
            <w:r w:rsidRPr="00934B4C">
              <w:t>[ ]</w:t>
            </w:r>
            <w:r w:rsidRPr="00934B4C">
              <w:tab/>
              <w:t>Modification of content and/or scope of previously notified draft regulation</w:t>
            </w:r>
          </w:p>
        </w:tc>
      </w:tr>
      <w:tr w14:paraId="29E5C45E" w14:textId="77777777" w:rsidTr="00D0271D">
        <w:tblPrEx>
          <w:tblW w:w="0" w:type="auto"/>
          <w:tblLayout w:type="fixed"/>
          <w:tblLook w:val="01E0"/>
        </w:tblPrEx>
        <w:tc>
          <w:tcPr>
            <w:tcW w:w="9242" w:type="dxa"/>
            <w:shd w:val="clear" w:color="auto" w:fill="auto"/>
          </w:tcPr>
          <w:p w:rsidR="00AD0FDA" w:rsidRPr="00934B4C" w:rsidP="00934B4C" w14:paraId="39310DA8" w14:textId="77777777">
            <w:pPr>
              <w:ind w:left="1440" w:hanging="873"/>
            </w:pPr>
            <w:r w:rsidRPr="00934B4C">
              <w:t>[ ]</w:t>
            </w:r>
            <w:r w:rsidRPr="00934B4C">
              <w:tab/>
            </w:r>
            <w:r w:rsidRPr="00934B4C">
              <w:t>Withdrawal of proposed regulation</w:t>
            </w:r>
          </w:p>
        </w:tc>
      </w:tr>
      <w:tr w14:paraId="34C1A768" w14:textId="77777777" w:rsidTr="00D0271D">
        <w:tblPrEx>
          <w:tblW w:w="0" w:type="auto"/>
          <w:tblLayout w:type="fixed"/>
          <w:tblLook w:val="01E0"/>
        </w:tblPrEx>
        <w:tc>
          <w:tcPr>
            <w:tcW w:w="9242" w:type="dxa"/>
            <w:shd w:val="clear" w:color="auto" w:fill="auto"/>
          </w:tcPr>
          <w:p w:rsidR="00AD0FDA" w:rsidRPr="00934B4C" w:rsidP="00934B4C" w14:paraId="6EAB17EC" w14:textId="77777777">
            <w:pPr>
              <w:ind w:left="1440" w:hanging="873"/>
            </w:pPr>
            <w:r w:rsidRPr="00934B4C">
              <w:t>[ ]</w:t>
            </w:r>
            <w:r w:rsidRPr="00934B4C">
              <w:tab/>
              <w:t>Change in proposed date of adoption, publication or date of entry into force</w:t>
            </w:r>
          </w:p>
        </w:tc>
      </w:tr>
      <w:tr w14:paraId="262E06C5" w14:textId="77777777" w:rsidTr="00D0271D">
        <w:tblPrEx>
          <w:tblW w:w="0" w:type="auto"/>
          <w:tblLayout w:type="fixed"/>
          <w:tblLook w:val="01E0"/>
        </w:tblPrEx>
        <w:tc>
          <w:tcPr>
            <w:tcW w:w="9242" w:type="dxa"/>
            <w:shd w:val="clear" w:color="auto" w:fill="auto"/>
          </w:tcPr>
          <w:p w:rsidR="00AD0FDA" w:rsidRPr="00934B4C" w:rsidP="00934B4C" w14:paraId="043FFF33" w14:textId="77777777">
            <w:pPr>
              <w:spacing w:after="240"/>
              <w:ind w:left="1440" w:hanging="873"/>
            </w:pPr>
            <w:r w:rsidRPr="00934B4C">
              <w:t>[ ]</w:t>
            </w:r>
            <w:r w:rsidRPr="00934B4C">
              <w:tab/>
              <w:t xml:space="preserve">Other: </w:t>
            </w:r>
          </w:p>
        </w:tc>
      </w:tr>
      <w:tr w14:paraId="2E2C4E7F" w14:textId="77777777" w:rsidTr="00D0271D">
        <w:tblPrEx>
          <w:tblW w:w="0" w:type="auto"/>
          <w:tblLayout w:type="fixed"/>
          <w:tblLook w:val="01E0"/>
        </w:tblPrEx>
        <w:tc>
          <w:tcPr>
            <w:tcW w:w="9242" w:type="dxa"/>
            <w:shd w:val="clear" w:color="auto" w:fill="auto"/>
          </w:tcPr>
          <w:p w:rsidR="00AD0FDA" w:rsidRPr="00934B4C" w:rsidP="00934B4C" w14:paraId="4EC672BB"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551FB672" w14:textId="77777777" w:rsidTr="00D0271D">
        <w:tblPrEx>
          <w:tblW w:w="0" w:type="auto"/>
          <w:tblLayout w:type="fixed"/>
          <w:tblLook w:val="01E0"/>
        </w:tblPrEx>
        <w:tc>
          <w:tcPr>
            <w:tcW w:w="9242" w:type="dxa"/>
            <w:shd w:val="clear" w:color="auto" w:fill="auto"/>
          </w:tcPr>
          <w:p w:rsidR="00AD0FDA" w:rsidRPr="00934B4C" w:rsidP="00934B4C" w14:paraId="74CC1A73"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1803397" w14:textId="77777777" w:rsidTr="00D0271D">
        <w:tblPrEx>
          <w:tblW w:w="0" w:type="auto"/>
          <w:tblLayout w:type="fixed"/>
          <w:tblLook w:val="01E0"/>
        </w:tblPrEx>
        <w:tc>
          <w:tcPr>
            <w:tcW w:w="9242" w:type="dxa"/>
            <w:shd w:val="clear" w:color="auto" w:fill="auto"/>
          </w:tcPr>
          <w:p w:rsidR="00AD0FDA" w:rsidRPr="00934B4C" w:rsidP="00934B4C" w14:paraId="3CA7193E" w14:textId="77777777">
            <w:pPr>
              <w:spacing w:after="240"/>
              <w:rPr>
                <w:b/>
              </w:rPr>
            </w:pPr>
            <w:r w:rsidRPr="00934B4C">
              <w:rPr>
                <w:b/>
              </w:rPr>
              <w:t xml:space="preserve">Agency or authority designated to handle comments: [ ] National Notification Authority, [X] National Enquiry Point. </w:t>
            </w:r>
            <w:r w:rsidRPr="00934B4C">
              <w:rPr>
                <w:b/>
              </w:rPr>
              <w:t>Address, fax number and e-mail address (if available) of other body:</w:t>
            </w:r>
          </w:p>
        </w:tc>
      </w:tr>
      <w:tr w14:paraId="10106664" w14:textId="77777777" w:rsidTr="00D0271D">
        <w:tblPrEx>
          <w:tblW w:w="0" w:type="auto"/>
          <w:tblLayout w:type="fixed"/>
          <w:tblLook w:val="01E0"/>
        </w:tblPrEx>
        <w:tc>
          <w:tcPr>
            <w:tcW w:w="9242" w:type="dxa"/>
            <w:shd w:val="clear" w:color="auto" w:fill="auto"/>
          </w:tcPr>
          <w:p w:rsidR="00AD0FDA" w:rsidRPr="00934B4C" w:rsidP="00934B4C" w14:paraId="5E48206A" w14:textId="77777777">
            <w:pPr>
              <w:spacing w:after="240"/>
            </w:pPr>
          </w:p>
        </w:tc>
      </w:tr>
      <w:tr w14:paraId="631D311A" w14:textId="77777777" w:rsidTr="00D0271D">
        <w:tblPrEx>
          <w:tblW w:w="0" w:type="auto"/>
          <w:tblLayout w:type="fixed"/>
          <w:tblLook w:val="01E0"/>
        </w:tblPrEx>
        <w:tc>
          <w:tcPr>
            <w:tcW w:w="9242" w:type="dxa"/>
            <w:shd w:val="clear" w:color="auto" w:fill="auto"/>
          </w:tcPr>
          <w:p w:rsidR="00AD0FDA" w:rsidRPr="00934B4C" w:rsidP="00934B4C" w14:paraId="6034C2AC"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2B129872" w14:textId="77777777" w:rsidTr="00D0271D">
        <w:tblPrEx>
          <w:tblW w:w="0" w:type="auto"/>
          <w:tblLayout w:type="fixed"/>
          <w:tblLook w:val="01E0"/>
        </w:tblPrEx>
        <w:tc>
          <w:tcPr>
            <w:tcW w:w="9242" w:type="dxa"/>
            <w:shd w:val="clear" w:color="auto" w:fill="auto"/>
          </w:tcPr>
          <w:p w:rsidR="00AD0FDA" w:rsidRPr="00934B4C" w:rsidP="00934B4C" w14:paraId="71F18C82" w14:textId="77777777">
            <w:r w:rsidRPr="00934B4C">
              <w:t>The Notice of "Modification to the List of Permitted Supplemental Ingredients to enable the use of milk thistle seed extract (silymarin)" is available through the following weblinks:</w:t>
            </w:r>
          </w:p>
          <w:p w:rsidR="00AD0FDA" w:rsidRPr="00934B4C" w:rsidP="00934B4C" w14:paraId="5AA83DCD" w14:textId="77777777">
            <w:hyperlink r:id="rId4" w:history="1">
              <w:r w:rsidRPr="00934B4C">
                <w:rPr>
                  <w:color w:val="0000FF"/>
                  <w:u w:val="single"/>
                </w:rPr>
                <w:t>https://www.canada.ca/en/health-canada/services/food-nutrition/legislation-guidelines/acts-regulations/notices-proposal-notices-modification/list-permitted-supplemental-ingredients-enable-use-milk-thistle-seed-extract-silymarin.html</w:t>
              </w:r>
            </w:hyperlink>
            <w:r w:rsidRPr="00934B4C" w:rsidR="00372783">
              <w:t xml:space="preserve"> (English)</w:t>
            </w:r>
          </w:p>
          <w:p w:rsidR="00AD0FDA" w:rsidRPr="00934B4C" w:rsidP="00372783" w14:paraId="0357D4F1" w14:textId="77777777">
            <w:pPr>
              <w:spacing w:after="120"/>
            </w:pPr>
            <w:hyperlink r:id="rId5" w:history="1">
              <w:r w:rsidRPr="00934B4C">
                <w:rPr>
                  <w:color w:val="0000FF"/>
                  <w:u w:val="single"/>
                </w:rPr>
                <w:t>https://www.canada.ca/fr/sante-canada/services/aliments-nutrition/legislation-lignes-directrices/lois-reglements/avis-proposition-avis-modification/liste-ingredients-supplementaires-autorises-permettre-utilisation-extrait-graines-chardon-marie-silymarine.html</w:t>
              </w:r>
            </w:hyperlink>
            <w:r w:rsidRPr="00934B4C" w:rsidR="00372783">
              <w:t xml:space="preserve"> (French)</w:t>
            </w:r>
          </w:p>
          <w:p w:rsidR="00AD0FDA" w:rsidRPr="00934B4C" w:rsidP="00934B4C" w14:paraId="5B90D181" w14:textId="77777777">
            <w:r w:rsidRPr="00934B4C">
              <w:t>Or requested from:</w:t>
            </w:r>
          </w:p>
          <w:p w:rsidR="00AD0FDA" w:rsidRPr="00934B4C" w:rsidP="00934B4C" w14:paraId="5DC2254B" w14:textId="77777777">
            <w:r w:rsidRPr="00934B4C">
              <w:t>Canada's Notification Authority and Enquiry Point</w:t>
            </w:r>
          </w:p>
          <w:p w:rsidR="00AD0FDA" w:rsidRPr="00934B4C" w:rsidP="00934B4C" w14:paraId="7C1D8981" w14:textId="77777777">
            <w:r w:rsidRPr="00934B4C">
              <w:t>Technical Barriers and Regulations Division</w:t>
            </w:r>
          </w:p>
          <w:p w:rsidR="00AD0FDA" w:rsidRPr="00934B4C" w:rsidP="00934B4C" w14:paraId="14312336" w14:textId="77777777">
            <w:r w:rsidRPr="00934B4C">
              <w:t>Global Affairs Canada</w:t>
            </w:r>
          </w:p>
          <w:p w:rsidR="00AD0FDA" w:rsidRPr="00934B4C" w:rsidP="00934B4C" w14:paraId="3C208025" w14:textId="77777777">
            <w:r w:rsidRPr="00934B4C">
              <w:t>111 Sussex Drive</w:t>
            </w:r>
          </w:p>
          <w:p w:rsidR="00AD0FDA" w:rsidRPr="00934B4C" w:rsidP="00934B4C" w14:paraId="45E0E7C1" w14:textId="77777777">
            <w:r w:rsidRPr="00934B4C">
              <w:t>Ottawa, Ontario, K1A 0G2</w:t>
            </w:r>
          </w:p>
          <w:p w:rsidR="00AD0FDA" w:rsidRPr="00372783" w:rsidP="00934B4C" w14:paraId="6027A88F" w14:textId="77777777">
            <w:pPr>
              <w:rPr>
                <w:lang w:val="es-ES"/>
              </w:rPr>
            </w:pPr>
            <w:r w:rsidRPr="00372783">
              <w:rPr>
                <w:lang w:val="es-ES"/>
              </w:rPr>
              <w:t>Canada</w:t>
            </w:r>
          </w:p>
          <w:p w:rsidR="00AD0FDA" w:rsidRPr="00372783" w:rsidP="00934B4C" w14:paraId="6C7A60CB" w14:textId="77777777">
            <w:pPr>
              <w:rPr>
                <w:lang w:val="es-ES"/>
              </w:rPr>
            </w:pPr>
            <w:r w:rsidRPr="00372783">
              <w:rPr>
                <w:lang w:val="es-ES"/>
              </w:rPr>
              <w:t>Tel: +(343) 203 4273</w:t>
            </w:r>
          </w:p>
          <w:p w:rsidR="00AD0FDA" w:rsidRPr="00372783" w:rsidP="00934B4C" w14:paraId="2DE04CB3" w14:textId="77777777">
            <w:pPr>
              <w:rPr>
                <w:lang w:val="es-ES"/>
              </w:rPr>
            </w:pPr>
            <w:r w:rsidRPr="00372783">
              <w:rPr>
                <w:lang w:val="es-ES"/>
              </w:rPr>
              <w:t>Fax: +(613) 943 0346</w:t>
            </w:r>
          </w:p>
          <w:p w:rsidR="00AD0FDA" w:rsidRPr="00372783" w:rsidP="00934B4C" w14:paraId="10EB39BC" w14:textId="77777777">
            <w:pPr>
              <w:rPr>
                <w:lang w:val="es-ES"/>
              </w:rPr>
            </w:pPr>
            <w:r w:rsidRPr="00372783">
              <w:rPr>
                <w:lang w:val="es-ES"/>
              </w:rPr>
              <w:t xml:space="preserve">E-mail: </w:t>
            </w:r>
            <w:hyperlink r:id="rId6" w:history="1">
              <w:r w:rsidRPr="00372783">
                <w:rPr>
                  <w:color w:val="0000FF"/>
                  <w:u w:val="single"/>
                  <w:lang w:val="es-ES"/>
                </w:rPr>
                <w:t>enquirypoint@international.gc.ca</w:t>
              </w:r>
            </w:hyperlink>
          </w:p>
        </w:tc>
      </w:tr>
    </w:tbl>
    <w:p w:rsidR="00AD0FDA" w:rsidRPr="00372783" w:rsidP="00934B4C" w14:paraId="036F1B45" w14:textId="77777777">
      <w:pPr>
        <w:rPr>
          <w:lang w:val="es-ES"/>
        </w:rPr>
      </w:pPr>
    </w:p>
    <w:p w:rsidR="00AD0FDA" w:rsidRPr="00934B4C" w:rsidP="00934B4C" w14:paraId="5875CEFA" w14:textId="77777777">
      <w:pPr>
        <w:jc w:val="center"/>
        <w:rPr>
          <w:b/>
        </w:rPr>
      </w:pPr>
      <w:r w:rsidRPr="00934B4C">
        <w:rPr>
          <w:b/>
        </w:rPr>
        <w:t>__________</w:t>
      </w:r>
    </w:p>
    <w:sectPr w:rsidSect="0037278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372783" w:rsidP="00372783" w14:paraId="522FEF99" w14:textId="6A1229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372783" w:rsidP="00372783" w14:paraId="0673681A" w14:textId="3C7894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0A632F8E"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783" w:rsidRPr="00372783" w:rsidP="00372783" w14:paraId="1D8C3C11" w14:textId="77777777">
    <w:pPr>
      <w:pStyle w:val="Header"/>
      <w:pBdr>
        <w:bottom w:val="single" w:sz="4" w:space="1" w:color="auto"/>
      </w:pBdr>
      <w:tabs>
        <w:tab w:val="clear" w:pos="4513"/>
        <w:tab w:val="clear" w:pos="9027"/>
      </w:tabs>
      <w:jc w:val="center"/>
    </w:pPr>
    <w:r w:rsidRPr="00372783">
      <w:t>G/SPS/N/CAN/1459/Add.1</w:t>
    </w:r>
  </w:p>
  <w:p w:rsidR="00372783" w:rsidRPr="00372783" w:rsidP="00372783" w14:paraId="329BF567" w14:textId="77777777">
    <w:pPr>
      <w:pStyle w:val="Header"/>
      <w:pBdr>
        <w:bottom w:val="single" w:sz="4" w:space="1" w:color="auto"/>
      </w:pBdr>
      <w:tabs>
        <w:tab w:val="clear" w:pos="4513"/>
        <w:tab w:val="clear" w:pos="9027"/>
      </w:tabs>
      <w:jc w:val="center"/>
    </w:pPr>
  </w:p>
  <w:p w:rsidR="00372783" w:rsidRPr="00372783" w:rsidP="00372783" w14:paraId="44333CA1" w14:textId="27E90CC7">
    <w:pPr>
      <w:pStyle w:val="Header"/>
      <w:pBdr>
        <w:bottom w:val="single" w:sz="4" w:space="1" w:color="auto"/>
      </w:pBdr>
      <w:tabs>
        <w:tab w:val="clear" w:pos="4513"/>
        <w:tab w:val="clear" w:pos="9027"/>
      </w:tabs>
      <w:jc w:val="center"/>
    </w:pPr>
    <w:r w:rsidRPr="00372783">
      <w:t xml:space="preserve">- </w:t>
    </w:r>
    <w:r w:rsidRPr="00372783">
      <w:fldChar w:fldCharType="begin"/>
    </w:r>
    <w:r w:rsidRPr="00372783">
      <w:instrText xml:space="preserve"> PAGE </w:instrText>
    </w:r>
    <w:r w:rsidRPr="00372783">
      <w:fldChar w:fldCharType="separate"/>
    </w:r>
    <w:r w:rsidRPr="00372783">
      <w:t>2</w:t>
    </w:r>
    <w:r w:rsidRPr="00372783">
      <w:fldChar w:fldCharType="end"/>
    </w:r>
    <w:r w:rsidRPr="00372783">
      <w:t xml:space="preserve"> -</w:t>
    </w:r>
  </w:p>
  <w:p w:rsidR="00AD0FDA" w:rsidRPr="00372783" w:rsidP="00372783" w14:paraId="580C17A7" w14:textId="295BDC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783" w:rsidRPr="00372783" w:rsidP="00372783" w14:paraId="05556D8A" w14:textId="77777777">
    <w:pPr>
      <w:pStyle w:val="Header"/>
      <w:pBdr>
        <w:bottom w:val="single" w:sz="4" w:space="1" w:color="auto"/>
      </w:pBdr>
      <w:tabs>
        <w:tab w:val="clear" w:pos="4513"/>
        <w:tab w:val="clear" w:pos="9027"/>
      </w:tabs>
      <w:jc w:val="center"/>
    </w:pPr>
    <w:r w:rsidRPr="00372783">
      <w:t>G/SPS/N/CAN/1459/Add.1</w:t>
    </w:r>
  </w:p>
  <w:p w:rsidR="00372783" w:rsidRPr="00372783" w:rsidP="00372783" w14:paraId="7D365B5C" w14:textId="77777777">
    <w:pPr>
      <w:pStyle w:val="Header"/>
      <w:pBdr>
        <w:bottom w:val="single" w:sz="4" w:space="1" w:color="auto"/>
      </w:pBdr>
      <w:tabs>
        <w:tab w:val="clear" w:pos="4513"/>
        <w:tab w:val="clear" w:pos="9027"/>
      </w:tabs>
      <w:jc w:val="center"/>
    </w:pPr>
  </w:p>
  <w:p w:rsidR="00372783" w:rsidRPr="00372783" w:rsidP="00372783" w14:paraId="56E2B0B4" w14:textId="3957ED46">
    <w:pPr>
      <w:pStyle w:val="Header"/>
      <w:pBdr>
        <w:bottom w:val="single" w:sz="4" w:space="1" w:color="auto"/>
      </w:pBdr>
      <w:tabs>
        <w:tab w:val="clear" w:pos="4513"/>
        <w:tab w:val="clear" w:pos="9027"/>
      </w:tabs>
      <w:jc w:val="center"/>
    </w:pPr>
    <w:r w:rsidRPr="00372783">
      <w:t xml:space="preserve">- </w:t>
    </w:r>
    <w:r w:rsidRPr="00372783">
      <w:fldChar w:fldCharType="begin"/>
    </w:r>
    <w:r w:rsidRPr="00372783">
      <w:instrText xml:space="preserve"> PAGE </w:instrText>
    </w:r>
    <w:r w:rsidRPr="00372783">
      <w:fldChar w:fldCharType="separate"/>
    </w:r>
    <w:r w:rsidRPr="00372783">
      <w:rPr>
        <w:noProof/>
      </w:rPr>
      <w:t>2</w:t>
    </w:r>
    <w:r w:rsidRPr="00372783">
      <w:fldChar w:fldCharType="end"/>
    </w:r>
    <w:r w:rsidRPr="00372783">
      <w:t xml:space="preserve"> -</w:t>
    </w:r>
  </w:p>
  <w:p w:rsidR="00AD0FDA" w:rsidRPr="00372783" w:rsidP="00372783" w14:paraId="28FCC3E8" w14:textId="55DE94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7B6DBD05"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45A752D3"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3F214C02" w14:textId="4DC6DD78">
          <w:pPr>
            <w:jc w:val="right"/>
            <w:rPr>
              <w:b/>
              <w:color w:val="FF0000"/>
              <w:szCs w:val="16"/>
            </w:rPr>
          </w:pPr>
          <w:r>
            <w:rPr>
              <w:b/>
              <w:color w:val="FF0000"/>
              <w:szCs w:val="16"/>
            </w:rPr>
            <w:t xml:space="preserve"> </w:t>
          </w:r>
        </w:p>
      </w:tc>
    </w:tr>
    <w:bookmarkEnd w:id="0"/>
    <w:tr w14:paraId="34C7216E"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3BF94FEB"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667BC1CF" w14:textId="77777777">
          <w:pPr>
            <w:jc w:val="right"/>
            <w:rPr>
              <w:b/>
              <w:szCs w:val="16"/>
            </w:rPr>
          </w:pPr>
        </w:p>
      </w:tc>
    </w:tr>
    <w:tr w14:paraId="74F64CF9"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565A3CC5"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5EDA3A2A" w14:textId="30BDE0FF">
          <w:pPr>
            <w:jc w:val="right"/>
            <w:rPr>
              <w:b/>
              <w:szCs w:val="16"/>
            </w:rPr>
          </w:pPr>
          <w:bookmarkStart w:id="1" w:name="bmkSymbols"/>
          <w:r>
            <w:rPr>
              <w:b/>
              <w:szCs w:val="16"/>
            </w:rPr>
            <w:t>G/SPS/N/CAN/1459/Add.1</w:t>
          </w:r>
          <w:bookmarkEnd w:id="1"/>
        </w:p>
      </w:tc>
    </w:tr>
    <w:tr w14:paraId="52B41209"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27F3E5FE" w14:textId="77777777"/>
      </w:tc>
      <w:tc>
        <w:tcPr>
          <w:tcW w:w="5448" w:type="dxa"/>
          <w:gridSpan w:val="2"/>
          <w:shd w:val="clear" w:color="auto" w:fill="FFFFFF"/>
          <w:tcMar>
            <w:left w:w="108" w:type="dxa"/>
            <w:right w:w="108" w:type="dxa"/>
          </w:tcMar>
          <w:vAlign w:val="center"/>
        </w:tcPr>
        <w:p w:rsidR="00ED54E0" w:rsidRPr="00AD0FDA" w:rsidP="0081481D" w14:paraId="52CB0CBA" w14:textId="77777777">
          <w:pPr>
            <w:jc w:val="right"/>
            <w:rPr>
              <w:szCs w:val="16"/>
            </w:rPr>
          </w:pPr>
          <w:bookmarkStart w:id="2" w:name="bmkDate"/>
          <w:bookmarkStart w:id="3" w:name="spsDateDistribution"/>
          <w:r w:rsidRPr="00AD0FDA">
            <w:rPr>
              <w:szCs w:val="16"/>
            </w:rPr>
            <w:t>13 February 2025</w:t>
          </w:r>
          <w:bookmarkEnd w:id="2"/>
          <w:bookmarkEnd w:id="3"/>
        </w:p>
      </w:tc>
    </w:tr>
    <w:tr w14:paraId="218C9587"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6124D4A2" w14:textId="77777777">
          <w:pPr>
            <w:jc w:val="left"/>
            <w:rPr>
              <w:b/>
            </w:rPr>
          </w:pPr>
          <w:bookmarkStart w:id="4" w:name="bmkSerial"/>
          <w:r>
            <w:rPr>
              <w:b w:val="0"/>
              <w:color w:val="FF0000"/>
            </w:rPr>
            <w:t>(25-1015)</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5CFE443C"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39B5A88D"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29512CD1" w14:textId="193E8344">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2A31206C" w14:textId="34ECDA3C">
          <w:pPr>
            <w:jc w:val="right"/>
            <w:rPr>
              <w:bCs/>
              <w:szCs w:val="18"/>
            </w:rPr>
          </w:pPr>
          <w:bookmarkStart w:id="7" w:name="bmkLanguage"/>
          <w:r>
            <w:rPr>
              <w:bCs/>
              <w:szCs w:val="18"/>
            </w:rPr>
            <w:t>Original: English/French</w:t>
          </w:r>
          <w:bookmarkEnd w:id="7"/>
        </w:p>
      </w:tc>
    </w:tr>
  </w:tbl>
  <w:p w:rsidR="00ED54E0" w:rsidRPr="00934B4C" w14:paraId="090FF0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286122">
    <w:abstractNumId w:val="9"/>
  </w:num>
  <w:num w:numId="2" w16cid:durableId="1150516223">
    <w:abstractNumId w:val="7"/>
  </w:num>
  <w:num w:numId="3" w16cid:durableId="140927428">
    <w:abstractNumId w:val="6"/>
  </w:num>
  <w:num w:numId="4" w16cid:durableId="932319175">
    <w:abstractNumId w:val="5"/>
  </w:num>
  <w:num w:numId="5" w16cid:durableId="1508059211">
    <w:abstractNumId w:val="4"/>
  </w:num>
  <w:num w:numId="6" w16cid:durableId="807823012">
    <w:abstractNumId w:val="12"/>
  </w:num>
  <w:num w:numId="7" w16cid:durableId="139349224">
    <w:abstractNumId w:val="11"/>
  </w:num>
  <w:num w:numId="8" w16cid:durableId="875851905">
    <w:abstractNumId w:val="10"/>
  </w:num>
  <w:num w:numId="9" w16cid:durableId="2045329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1083646">
    <w:abstractNumId w:val="13"/>
  </w:num>
  <w:num w:numId="11" w16cid:durableId="82535198">
    <w:abstractNumId w:val="8"/>
  </w:num>
  <w:num w:numId="12" w16cid:durableId="1291017116">
    <w:abstractNumId w:val="3"/>
  </w:num>
  <w:num w:numId="13" w16cid:durableId="1911503319">
    <w:abstractNumId w:val="2"/>
  </w:num>
  <w:num w:numId="14" w16cid:durableId="1273438611">
    <w:abstractNumId w:val="1"/>
  </w:num>
  <w:num w:numId="15" w16cid:durableId="128558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2783"/>
    <w:rsid w:val="00384FA1"/>
    <w:rsid w:val="004027B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3560"/>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D06768"/>
  <w15:docId w15:val="{522082CF-5D28-45F8-96BB-7F47523F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anada.ca/en/health-canada/services/food-nutrition/legislation-guidelines/acts-regulations/notices-proposal-notices-modification/list-permitted-supplemental-ingredients-enable-use-milk-thistle-seed-extract-silymarin.html" TargetMode="External" /><Relationship Id="rId5" Type="http://schemas.openxmlformats.org/officeDocument/2006/relationships/hyperlink" Target="https://www.canada.ca/fr/sante-canada/services/aliments-nutrition/legislation-lignes-directrices/lois-reglements/avis-proposition-avis-modification/liste-ingredients-supplementaires-autorises-permettre-utilisation-extrait-graines-chardon-marie-silymarine.html" TargetMode="External" /><Relationship Id="rId6" Type="http://schemas.openxmlformats.org/officeDocument/2006/relationships/hyperlink" Target="mailto:enquirypoint@international.gc.ca"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2025-02-13T09:49:00Z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G/SPS/N/CAN/1459/Add.1</vt:lpwstr>
  </property>
</Properties>
</file>