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B9A07D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BE37D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F2B0FA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203757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REPUBLIC OF KOREA</w:t>
            </w:r>
          </w:p>
          <w:p w:rsidR="00EA4725" w:rsidRPr="00441372" w:rsidP="00441372" w14:paraId="19BF5318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57458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62245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190F7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Food and Drug Safety</w:t>
            </w:r>
          </w:p>
        </w:tc>
      </w:tr>
      <w:tr w14:paraId="527C87F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76C6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A491D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Foods</w:t>
            </w:r>
          </w:p>
        </w:tc>
      </w:tr>
      <w:tr w14:paraId="1C60A9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79609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7BEB8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A07965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01FBB4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A6840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412C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4CD5F2" w14:textId="62BBED5C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Proposed Amendments to the Regulation on the Declaration and Inspection of Imported Food Products, etc, - Administrative Notice No.</w:t>
            </w:r>
            <w:r>
              <w:t> </w:t>
            </w:r>
            <w:r w:rsidRPr="0065690F">
              <w:t>2025-289, 2 July 2025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Korean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26</w:t>
            </w:r>
          </w:p>
          <w:p w:rsidR="00EA4725" w:rsidRPr="00441372" w:rsidP="00441372" w14:paraId="3CB86E32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https://members.wto.org/crnattachments/2025/SPS/KOR/25_04372_00_x.pdf</w:t>
              </w:r>
            </w:hyperlink>
          </w:p>
        </w:tc>
      </w:tr>
      <w:tr w14:paraId="66C24BD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7A259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00408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main proposed amendment seeks to:</w:t>
            </w:r>
          </w:p>
          <w:p w:rsidR="009949A7" w:rsidRPr="0065690F" w:rsidP="00146C86" w14:paraId="05B984B8" w14:textId="50214E37">
            <w:pPr>
              <w:numPr>
                <w:ilvl w:val="0"/>
                <w:numId w:val="16"/>
              </w:numPr>
              <w:ind w:left="357" w:hanging="357"/>
            </w:pPr>
            <w:r w:rsidRPr="0065690F">
              <w:t>Improve "Same company Same Imported Food" criteria for imported fishery products;</w:t>
            </w:r>
          </w:p>
          <w:p w:rsidR="009949A7" w:rsidRPr="0065690F" w:rsidP="00146C86" w14:paraId="3925475C" w14:textId="12ACEBA8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Adjust the number of pesticides that are test items for the laboratory inspections conducted on the newly imported agricultural products for test items of random sampling inspection (as </w:t>
            </w:r>
            <w:r w:rsidR="005D2DA8">
              <w:t>a</w:t>
            </w:r>
            <w:r w:rsidRPr="0065690F">
              <w:t>ll items of pesticides multi-component test method);</w:t>
            </w:r>
          </w:p>
          <w:p w:rsidR="009949A7" w:rsidRPr="0065690F" w:rsidP="00146C86" w14:paraId="662F56F5" w14:textId="39D894FB">
            <w:pPr>
              <w:numPr>
                <w:ilvl w:val="0"/>
                <w:numId w:val="16"/>
              </w:numPr>
              <w:ind w:left="357" w:hanging="357"/>
            </w:pPr>
            <w:r w:rsidRPr="0065690F">
              <w:t>Exclude substances that are not designated as food additives in Korea but are used in foreign countries from hazardous substances;</w:t>
            </w:r>
          </w:p>
          <w:p w:rsidR="009949A7" w:rsidRPr="0065690F" w:rsidP="00146C86" w14:paraId="4127DA3B" w14:textId="708297C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Adjust the list of food products, </w:t>
            </w:r>
            <w:r w:rsidRPr="005D2DA8" w:rsidR="005D2DA8">
              <w:rPr>
                <w:lang w:eastAsia="ko-KR"/>
              </w:rPr>
              <w:t>agricultural products</w:t>
            </w:r>
            <w:r w:rsidRPr="005D2DA8">
              <w:t>,</w:t>
            </w:r>
            <w:r w:rsidRPr="0065690F">
              <w:t xml:space="preserve"> that the Minister of Food and Drug Safety recognises as safe by reflecting the non-compliance records;</w:t>
            </w:r>
          </w:p>
          <w:p w:rsidR="009949A7" w:rsidRPr="0065690F" w:rsidP="00146C86" w14:paraId="30EBF27C" w14:textId="0FB90EE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Classify specific action criteria for nonconforming livestock products according to the hazard of the detection material.</w:t>
            </w:r>
          </w:p>
        </w:tc>
      </w:tr>
      <w:tr w14:paraId="56A4CC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E4A4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8CF52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75530C8" w14:textId="77777777" w:rsidTr="00902C2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4FD2D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57797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6DA8B8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927FC6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E0B025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76688C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39AB9D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146C86" w14:paraId="41D98FF4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2746BB7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330F5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3D58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7FAD8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7F1093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423BD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FE8A64" w14:textId="5F5E128F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Expected to be adopted </w:t>
            </w:r>
            <w:r w:rsidR="005D2DA8">
              <w:t>o</w:t>
            </w:r>
            <w:r w:rsidRPr="0065690F">
              <w:t>n 30 August 2025.</w:t>
            </w:r>
          </w:p>
          <w:p w:rsidR="00EA4725" w:rsidRPr="00441372" w:rsidP="00441372" w14:paraId="330FC54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AEFA7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E849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66F2EA" w14:textId="0E2CD5F1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Expected to be adopted </w:t>
            </w:r>
            <w:r w:rsidR="005D2DA8">
              <w:t>o</w:t>
            </w:r>
            <w:r w:rsidRPr="0065690F">
              <w:t>n 30 August 2025.</w:t>
            </w:r>
          </w:p>
          <w:p w:rsidR="00EA4725" w:rsidRPr="00441372" w:rsidP="00441372" w14:paraId="4B81BAF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0998E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EB2B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02D5E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 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22 July 2025</w:t>
            </w:r>
          </w:p>
          <w:p w:rsidR="00EA4725" w:rsidRPr="00441372" w:rsidP="00441372" w14:paraId="72D4248D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9949A7" w:rsidRPr="0065690F" w:rsidP="00441372" w14:paraId="2A372C3A" w14:textId="77777777">
            <w:r w:rsidRPr="0065690F">
              <w:t>International Cooperation Office</w:t>
            </w:r>
          </w:p>
          <w:p w:rsidR="009949A7" w:rsidRPr="0065690F" w:rsidP="00441372" w14:paraId="21A86F9C" w14:textId="77777777">
            <w:r w:rsidRPr="0065690F">
              <w:t>Ministry of Food and Drug Safety</w:t>
            </w:r>
          </w:p>
          <w:p w:rsidR="00146C86" w:rsidP="00441372" w14:paraId="4DDB0995" w14:textId="77777777">
            <w:r w:rsidRPr="0065690F">
              <w:t xml:space="preserve">#187 Osongsaengmyeong2-ro, </w:t>
            </w:r>
            <w:r w:rsidRPr="0065690F">
              <w:t>Osong-eup</w:t>
            </w:r>
            <w:r w:rsidRPr="0065690F">
              <w:t xml:space="preserve">, </w:t>
            </w:r>
            <w:r w:rsidRPr="0065690F">
              <w:t>Heungdoek-gu</w:t>
            </w:r>
            <w:r w:rsidRPr="0065690F">
              <w:t xml:space="preserve"> Cheongju-</w:t>
            </w:r>
            <w:r w:rsidRPr="0065690F">
              <w:t>si</w:t>
            </w:r>
          </w:p>
          <w:p w:rsidR="009949A7" w:rsidRPr="0065690F" w:rsidP="00441372" w14:paraId="55CE7289" w14:textId="670B77B0">
            <w:r w:rsidRPr="0065690F">
              <w:t>Chungcheongbuk</w:t>
            </w:r>
            <w:r w:rsidRPr="0065690F">
              <w:t>-do</w:t>
            </w:r>
          </w:p>
          <w:p w:rsidR="009949A7" w:rsidRPr="0065690F" w:rsidP="00441372" w14:paraId="6C0CDAD1" w14:textId="77777777">
            <w:r w:rsidRPr="0065690F">
              <w:t>Tel: +(82 43) 719 1569</w:t>
            </w:r>
          </w:p>
          <w:p w:rsidR="009949A7" w:rsidRPr="0065690F" w:rsidP="00441372" w14:paraId="44337717" w14:textId="77777777">
            <w:r w:rsidRPr="0065690F">
              <w:t>Fax: +(82 43) 719 1550</w:t>
            </w:r>
          </w:p>
          <w:p w:rsidR="009949A7" w:rsidRPr="0065690F" w:rsidP="00441372" w14:paraId="056C8E3E" w14:textId="77777777">
            <w:pPr>
              <w:spacing w:after="120"/>
            </w:pPr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intmfds@korea.kr</w:t>
              </w:r>
            </w:hyperlink>
          </w:p>
        </w:tc>
      </w:tr>
      <w:tr w14:paraId="0225B9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E037ED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72662A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146C86" w14:paraId="56A2E134" w14:textId="77777777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Documents are available from the Ministry of Food and Drug Safety website at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http://www.mfds.go.kr</w:t>
              </w:r>
            </w:hyperlink>
            <w:r w:rsidRPr="0065690F">
              <w:rPr>
                <w:bCs/>
              </w:rPr>
              <w:t>. Also available from:</w:t>
            </w:r>
          </w:p>
          <w:p w:rsidR="00EA4725" w:rsidRPr="0065690F" w:rsidP="00F3021D" w14:paraId="41A6678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Cooperation Office</w:t>
            </w:r>
          </w:p>
          <w:p w:rsidR="00EA4725" w:rsidRPr="0065690F" w:rsidP="00F3021D" w14:paraId="27DD6AA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Food and Drug Safety</w:t>
            </w:r>
          </w:p>
          <w:p w:rsidR="00146C86" w:rsidP="00F3021D" w14:paraId="61175BF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#187 Osongsaengmyeong2-ro, </w:t>
            </w:r>
            <w:r w:rsidRPr="0065690F">
              <w:rPr>
                <w:bCs/>
              </w:rPr>
              <w:t>Osong-eup</w:t>
            </w:r>
            <w:r w:rsidRPr="0065690F">
              <w:rPr>
                <w:bCs/>
              </w:rPr>
              <w:t xml:space="preserve">, </w:t>
            </w:r>
            <w:r w:rsidRPr="0065690F">
              <w:rPr>
                <w:bCs/>
              </w:rPr>
              <w:t>Heungdoek-gu</w:t>
            </w:r>
            <w:r w:rsidRPr="0065690F">
              <w:rPr>
                <w:bCs/>
              </w:rPr>
              <w:t xml:space="preserve"> Cheongju-</w:t>
            </w:r>
            <w:r w:rsidRPr="0065690F">
              <w:rPr>
                <w:bCs/>
              </w:rPr>
              <w:t>si</w:t>
            </w:r>
          </w:p>
          <w:p w:rsidR="00EA4725" w:rsidRPr="0065690F" w:rsidP="00F3021D" w14:paraId="74513147" w14:textId="070EE29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Chungcheongbuk</w:t>
            </w:r>
            <w:r w:rsidRPr="0065690F">
              <w:rPr>
                <w:bCs/>
              </w:rPr>
              <w:t>-do</w:t>
            </w:r>
          </w:p>
          <w:p w:rsidR="00EA4725" w:rsidRPr="0065690F" w:rsidP="00F3021D" w14:paraId="69DC5BD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+(82 43) 719 1569</w:t>
            </w:r>
          </w:p>
          <w:p w:rsidR="00EA4725" w:rsidRPr="0065690F" w:rsidP="00F3021D" w14:paraId="45BD1CD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+(82 43) 719 1550</w:t>
            </w:r>
          </w:p>
          <w:p w:rsidR="00EA4725" w:rsidRPr="0065690F" w:rsidP="00F3021D" w14:paraId="0308C2C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intmfds@korea.kr</w:t>
              </w:r>
            </w:hyperlink>
          </w:p>
        </w:tc>
      </w:tr>
    </w:tbl>
    <w:p w:rsidR="007141CF" w:rsidRPr="00441372" w:rsidP="00441372" w14:paraId="7C423A07" w14:textId="77777777"/>
    <w:sectPr w:rsidSect="00146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46C86" w:rsidP="00146C86" w14:paraId="4314BCF6" w14:textId="74767E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46C86" w:rsidP="00146C86" w14:paraId="1A2E47C4" w14:textId="34ECAFE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3D423E6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C86" w:rsidRPr="00146C86" w:rsidP="00146C86" w14:paraId="02AA78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C86">
      <w:t>G/SPS/N/KOR/824</w:t>
    </w:r>
  </w:p>
  <w:p w:rsidR="00146C86" w:rsidRPr="00146C86" w:rsidP="00146C86" w14:paraId="7545ED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6C86" w:rsidRPr="00146C86" w:rsidP="00146C86" w14:paraId="5CF886D9" w14:textId="60DF65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C86">
      <w:t xml:space="preserve">- </w:t>
    </w:r>
    <w:r w:rsidRPr="00146C86">
      <w:fldChar w:fldCharType="begin"/>
    </w:r>
    <w:r w:rsidRPr="00146C86">
      <w:instrText xml:space="preserve"> PAGE </w:instrText>
    </w:r>
    <w:r w:rsidRPr="00146C86">
      <w:fldChar w:fldCharType="separate"/>
    </w:r>
    <w:r w:rsidRPr="00146C86">
      <w:t>2</w:t>
    </w:r>
    <w:r w:rsidRPr="00146C86">
      <w:fldChar w:fldCharType="end"/>
    </w:r>
    <w:r w:rsidRPr="00146C86">
      <w:t xml:space="preserve"> -</w:t>
    </w:r>
  </w:p>
  <w:p w:rsidR="00EA4725" w:rsidRPr="00146C86" w:rsidP="00146C86" w14:paraId="24C6F6CE" w14:textId="14FD858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C86" w:rsidRPr="00146C86" w:rsidP="00146C86" w14:paraId="22BA52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C86">
      <w:t>G/SPS/N/KOR/824</w:t>
    </w:r>
  </w:p>
  <w:p w:rsidR="00146C86" w:rsidRPr="00146C86" w:rsidP="00146C86" w14:paraId="562CEF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46C86" w:rsidRPr="00146C86" w:rsidP="00146C86" w14:paraId="7B105AF0" w14:textId="60EF44B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46C86">
      <w:t xml:space="preserve">- </w:t>
    </w:r>
    <w:r w:rsidRPr="00146C86">
      <w:fldChar w:fldCharType="begin"/>
    </w:r>
    <w:r w:rsidRPr="00146C86">
      <w:instrText xml:space="preserve"> PAGE </w:instrText>
    </w:r>
    <w:r w:rsidRPr="00146C86">
      <w:fldChar w:fldCharType="separate"/>
    </w:r>
    <w:r w:rsidRPr="00146C86">
      <w:rPr>
        <w:noProof/>
      </w:rPr>
      <w:t>2</w:t>
    </w:r>
    <w:r w:rsidRPr="00146C86">
      <w:fldChar w:fldCharType="end"/>
    </w:r>
    <w:r w:rsidRPr="00146C86">
      <w:t xml:space="preserve"> -</w:t>
    </w:r>
  </w:p>
  <w:p w:rsidR="00EA4725" w:rsidRPr="00146C86" w:rsidP="00146C86" w14:paraId="5E918891" w14:textId="00D4B4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FEC20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A22DF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4C93B90" w14:textId="1BD92DE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7299BF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66661A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0BD3F14" w14:textId="77777777">
          <w:pPr>
            <w:jc w:val="right"/>
            <w:rPr>
              <w:b/>
              <w:szCs w:val="16"/>
            </w:rPr>
          </w:pPr>
        </w:p>
      </w:tc>
    </w:tr>
    <w:tr w14:paraId="516CD47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25100F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6C86" w:rsidP="00656ABC" w14:paraId="14ABB9B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G/SPS/N/KOR/824</w:t>
          </w:r>
        </w:p>
        <w:bookmarkEnd w:id="1"/>
        <w:p w:rsidR="00656ABC" w:rsidRPr="00EA4725" w:rsidP="00656ABC" w14:paraId="2C519924" w14:textId="4E790B1A">
          <w:pPr>
            <w:jc w:val="right"/>
            <w:rPr>
              <w:b/>
              <w:szCs w:val="16"/>
            </w:rPr>
          </w:pPr>
        </w:p>
      </w:tc>
    </w:tr>
    <w:tr w14:paraId="38A4289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1ECF2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FD549F" w14:textId="47DD356C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16</w:t>
          </w:r>
          <w:r w:rsidRPr="00EA4725" w:rsidR="00146C86">
            <w:rPr>
              <w:szCs w:val="16"/>
            </w:rPr>
            <w:t xml:space="preserve"> July 2025</w:t>
          </w:r>
          <w:bookmarkEnd w:id="3"/>
        </w:p>
      </w:tc>
    </w:tr>
    <w:tr w14:paraId="464AEB4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CB6C224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(25-4554)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A428DE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770EDB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330CF25" w14:textId="00E4C6E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2879BCD" w14:textId="02458C3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25DB6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A06AC4"/>
    <w:multiLevelType w:val="hybridMultilevel"/>
    <w:tmpl w:val="7A708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F3713"/>
    <w:multiLevelType w:val="hybridMultilevel"/>
    <w:tmpl w:val="47E0C6E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3327">
    <w:abstractNumId w:val="9"/>
  </w:num>
  <w:num w:numId="2" w16cid:durableId="2143770661">
    <w:abstractNumId w:val="7"/>
  </w:num>
  <w:num w:numId="3" w16cid:durableId="1818644213">
    <w:abstractNumId w:val="6"/>
  </w:num>
  <w:num w:numId="4" w16cid:durableId="252133099">
    <w:abstractNumId w:val="5"/>
  </w:num>
  <w:num w:numId="5" w16cid:durableId="869614283">
    <w:abstractNumId w:val="4"/>
  </w:num>
  <w:num w:numId="6" w16cid:durableId="1818062525">
    <w:abstractNumId w:val="13"/>
  </w:num>
  <w:num w:numId="7" w16cid:durableId="1312834158">
    <w:abstractNumId w:val="12"/>
  </w:num>
  <w:num w:numId="8" w16cid:durableId="1618413148">
    <w:abstractNumId w:val="11"/>
  </w:num>
  <w:num w:numId="9" w16cid:durableId="883640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776608">
    <w:abstractNumId w:val="14"/>
  </w:num>
  <w:num w:numId="11" w16cid:durableId="774519006">
    <w:abstractNumId w:val="8"/>
  </w:num>
  <w:num w:numId="12" w16cid:durableId="987712071">
    <w:abstractNumId w:val="3"/>
  </w:num>
  <w:num w:numId="13" w16cid:durableId="1553155015">
    <w:abstractNumId w:val="2"/>
  </w:num>
  <w:num w:numId="14" w16cid:durableId="195654941">
    <w:abstractNumId w:val="1"/>
  </w:num>
  <w:num w:numId="15" w16cid:durableId="1097746883">
    <w:abstractNumId w:val="0"/>
  </w:num>
  <w:num w:numId="16" w16cid:durableId="1798988292">
    <w:abstractNumId w:val="15"/>
  </w:num>
  <w:num w:numId="17" w16cid:durableId="130834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6C86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14AB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3F6"/>
    <w:rsid w:val="005120F0"/>
    <w:rsid w:val="005336B8"/>
    <w:rsid w:val="00547B5F"/>
    <w:rsid w:val="005B04B9"/>
    <w:rsid w:val="005B68C7"/>
    <w:rsid w:val="005B7054"/>
    <w:rsid w:val="005C04C1"/>
    <w:rsid w:val="005D2DA8"/>
    <w:rsid w:val="005D5981"/>
    <w:rsid w:val="005E6F8D"/>
    <w:rsid w:val="005F30CB"/>
    <w:rsid w:val="00612644"/>
    <w:rsid w:val="0065690F"/>
    <w:rsid w:val="00656ABC"/>
    <w:rsid w:val="00674CCD"/>
    <w:rsid w:val="006B4B49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2C24"/>
    <w:rsid w:val="00903AB0"/>
    <w:rsid w:val="00963046"/>
    <w:rsid w:val="009949A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569C6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1FE6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73D15"/>
  <w15:docId w15:val="{9D6E2C47-ABC0-4FAB-BED3-6BBE414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146C86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KOR/25_04372_00_x.pdf" TargetMode="External" /><Relationship Id="rId6" Type="http://schemas.openxmlformats.org/officeDocument/2006/relationships/hyperlink" Target="mailto:intmfds@korea.kr" TargetMode="External" /><Relationship Id="rId7" Type="http://schemas.openxmlformats.org/officeDocument/2006/relationships/hyperlink" Target="http://www.mfds.go.kr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74c16076-d179-41f8-8e2d-e855f3402acd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1BAD95C-CBB9-457C-9B27-416B3D22BF7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17</cp:revision>
  <dcterms:created xsi:type="dcterms:W3CDTF">2017-07-03T11:19:00Z</dcterms:created>
  <dcterms:modified xsi:type="dcterms:W3CDTF">2025-07-16T07:47:00Z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G/SPS/N/KOR/824</vt:lpwstr>
  </property>
  <property fmtid="{D5CDD505-2E9C-101B-9397-08002B2CF9AE}" pid="3" name="TitusGUID">
    <vt:lpwstr>74c16076-d179-41f8-8e2d-e855f3402acd</vt:lpwstr>
  </property>
  <property fmtid="{D5CDD505-2E9C-101B-9397-08002B2CF9AE}" pid="4" name="WTOCLASSIFICATION">
    <vt:lpwstr>WTO OFFICIAL</vt:lpwstr>
  </property>
</Properties>
</file>