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238FB266"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151CCF1F" w14:textId="77777777" w:rsidTr="00F3021D">
        <w:tblPrEx>
          <w:tblW w:w="5000" w:type="pct"/>
          <w:tblLayout w:type="fixed"/>
          <w:tblLook w:val="0000"/>
        </w:tblPrEx>
        <w:tc>
          <w:tcPr>
            <w:tcW w:w="707" w:type="dxa"/>
            <w:tcBorders>
              <w:bottom w:val="single" w:sz="6" w:space="0" w:color="auto"/>
            </w:tcBorders>
          </w:tcPr>
          <w:p w:rsidR="00EA4725" w:rsidRPr="00441372" w:rsidP="00441372" w14:paraId="5ABBBF2E"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6FA23687" w14:textId="77777777">
            <w:pPr>
              <w:spacing w:before="120" w:after="120"/>
            </w:pPr>
            <w:r w:rsidRPr="00441372">
              <w:rPr>
                <w:b/>
              </w:rPr>
              <w:t>Notifying Member:</w:t>
            </w:r>
            <w:r w:rsidRPr="0065690F">
              <w:t xml:space="preserve"> </w:t>
            </w:r>
            <w:r w:rsidRPr="0065690F">
              <w:rPr>
                <w:u w:val="single"/>
              </w:rPr>
              <w:t>UNITED KINGDOM</w:t>
            </w:r>
          </w:p>
          <w:p w:rsidR="00EA4725" w:rsidRPr="00441372" w:rsidP="00441372" w14:paraId="3D12CBAF" w14:textId="77777777">
            <w:pPr>
              <w:spacing w:after="120"/>
            </w:pPr>
            <w:r w:rsidRPr="00441372">
              <w:rPr>
                <w:b/>
                <w:bCs/>
              </w:rPr>
              <w:t>If applicable, name of local government involved:</w:t>
            </w:r>
            <w:r w:rsidRPr="0065690F">
              <w:rPr>
                <w:bCs/>
              </w:rPr>
              <w:t xml:space="preserve"> </w:t>
            </w:r>
          </w:p>
        </w:tc>
      </w:tr>
      <w:tr w14:paraId="18605EC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D4283E0"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4BC9D0E9" w14:textId="77777777">
            <w:pPr>
              <w:spacing w:before="120" w:after="120"/>
            </w:pPr>
            <w:r w:rsidRPr="00441372">
              <w:rPr>
                <w:b/>
              </w:rPr>
              <w:t>Agency responsible:</w:t>
            </w:r>
            <w:r w:rsidRPr="0065690F">
              <w:t xml:space="preserve"> </w:t>
            </w:r>
            <w:r w:rsidRPr="0065690F">
              <w:t>The Department for Environment, Food and Rural Affairs and The Health and Safety Executive</w:t>
            </w:r>
          </w:p>
        </w:tc>
      </w:tr>
      <w:tr w14:paraId="5A4B781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41FB900" w14:textId="77777777">
            <w:pPr>
              <w:spacing w:before="120" w:after="120"/>
              <w:jc w:val="left"/>
            </w:pPr>
            <w:r w:rsidRPr="00441372">
              <w:rPr>
                <w:b/>
              </w:rPr>
              <w:t>3.</w:t>
            </w:r>
          </w:p>
        </w:tc>
        <w:tc>
          <w:tcPr>
            <w:tcW w:w="8320" w:type="dxa"/>
            <w:tcBorders>
              <w:top w:val="single" w:sz="6" w:space="0" w:color="auto"/>
              <w:bottom w:val="single" w:sz="6" w:space="0" w:color="auto"/>
            </w:tcBorders>
          </w:tcPr>
          <w:p w:rsidR="009922BB" w:rsidP="00441372" w14:paraId="1C056BD9" w14:textId="77777777">
            <w:pPr>
              <w:spacing w:before="120"/>
            </w:pPr>
            <w:r w:rsidRPr="00441372">
              <w:rPr>
                <w:b/>
              </w:rPr>
              <w:t>Products covered (provide tariff item number(s) as specified in national schedules deposited with the WTO; ICS numbers should be provided in addition, where applicable):</w:t>
            </w:r>
            <w:r w:rsidRPr="0065690F">
              <w:t xml:space="preserve"> </w:t>
            </w:r>
          </w:p>
          <w:p w:rsidR="00EA4725" w:rsidRPr="009922BB" w:rsidP="00441372" w14:paraId="10091942" w14:textId="2572294B">
            <w:pPr>
              <w:spacing w:before="120"/>
            </w:pPr>
            <w:r w:rsidRPr="00E64856">
              <w:t>MRLs proposed to be raised:</w:t>
            </w:r>
          </w:p>
          <w:p w:rsidR="00984DBF" w:rsidRPr="0065690F" w:rsidP="00441372" w14:paraId="481AADCD" w14:textId="4FF8DBB6">
            <w:r w:rsidRPr="0065690F">
              <w:t>Apple (0130010)</w:t>
            </w:r>
          </w:p>
          <w:p w:rsidR="00984DBF" w:rsidRPr="0065690F" w:rsidP="009922BB" w14:paraId="428A6D7C" w14:textId="47CC3640">
            <w:pPr>
              <w:spacing w:after="120"/>
            </w:pPr>
            <w:r w:rsidRPr="0065690F">
              <w:t>Banana (0163020)</w:t>
            </w:r>
          </w:p>
          <w:p w:rsidR="00984DBF" w:rsidRPr="009922BB" w:rsidP="00441372" w14:paraId="539709FC" w14:textId="42E62E20">
            <w:r w:rsidRPr="009922BB">
              <w:t>MRLs proposed to be lowered:</w:t>
            </w:r>
          </w:p>
          <w:p w:rsidR="00984DBF" w:rsidRPr="0065690F" w:rsidP="00441372" w14:paraId="6466DD83" w14:textId="77777777">
            <w:r w:rsidRPr="0065690F">
              <w:t>Citrus fruits (0110000)</w:t>
            </w:r>
          </w:p>
          <w:p w:rsidR="00984DBF" w:rsidRPr="0065690F" w:rsidP="00441372" w14:paraId="594CEA0B" w14:textId="77777777">
            <w:r w:rsidRPr="0065690F">
              <w:t>Tree nuts (0120000)</w:t>
            </w:r>
          </w:p>
          <w:p w:rsidR="00984DBF" w:rsidRPr="0065690F" w:rsidP="00441372" w14:paraId="76BB80B5" w14:textId="77777777">
            <w:r w:rsidRPr="0065690F">
              <w:t>Pome fruits (excluding apples: 0130000, except 0130010)</w:t>
            </w:r>
          </w:p>
          <w:p w:rsidR="00984DBF" w:rsidRPr="0065690F" w:rsidP="00441372" w14:paraId="1245A25B" w14:textId="77777777">
            <w:r w:rsidRPr="0065690F">
              <w:t>Stone fruits (0140000)</w:t>
            </w:r>
          </w:p>
          <w:p w:rsidR="00984DBF" w:rsidRPr="0065690F" w:rsidP="00441372" w14:paraId="1472479D" w14:textId="77777777">
            <w:r w:rsidRPr="0065690F">
              <w:t>Grapes (0151000)</w:t>
            </w:r>
          </w:p>
          <w:p w:rsidR="00984DBF" w:rsidRPr="0065690F" w:rsidP="00441372" w14:paraId="7F32219B" w14:textId="77777777">
            <w:r w:rsidRPr="0065690F">
              <w:t>Strawberries (0152000)</w:t>
            </w:r>
          </w:p>
          <w:p w:rsidR="00984DBF" w:rsidRPr="0065690F" w:rsidP="00441372" w14:paraId="414033C4" w14:textId="77777777">
            <w:r w:rsidRPr="0065690F">
              <w:t>Cane fruits (0153000)</w:t>
            </w:r>
          </w:p>
          <w:p w:rsidR="00984DBF" w:rsidRPr="0065690F" w:rsidP="00441372" w14:paraId="570EB4CD" w14:textId="77777777">
            <w:r w:rsidRPr="0065690F">
              <w:t>Other small fruits and berries (0154000)</w:t>
            </w:r>
          </w:p>
          <w:p w:rsidR="00984DBF" w:rsidRPr="0065690F" w:rsidP="00441372" w14:paraId="6A3B0B11" w14:textId="77777777">
            <w:r w:rsidRPr="0065690F">
              <w:t>Edible peel fruits (0161000)</w:t>
            </w:r>
          </w:p>
          <w:p w:rsidR="00984DBF" w:rsidRPr="0065690F" w:rsidP="00441372" w14:paraId="762468E8" w14:textId="77777777">
            <w:r w:rsidRPr="0065690F">
              <w:t>Inedible peel, small (0162000)</w:t>
            </w:r>
          </w:p>
          <w:p w:rsidR="00984DBF" w:rsidRPr="0065690F" w:rsidP="00441372" w14:paraId="6DD99566" w14:textId="77777777">
            <w:r w:rsidRPr="0065690F">
              <w:t>Inedible peel, larger (excluding bananas: 0163000, except 0163020)</w:t>
            </w:r>
          </w:p>
          <w:p w:rsidR="00984DBF" w:rsidRPr="0065690F" w:rsidP="00441372" w14:paraId="4F45537A" w14:textId="77777777">
            <w:r w:rsidRPr="0065690F">
              <w:t>Potatoes (0211000)</w:t>
            </w:r>
          </w:p>
          <w:p w:rsidR="00984DBF" w:rsidRPr="0065690F" w:rsidP="00441372" w14:paraId="31A05F0A" w14:textId="77777777">
            <w:r w:rsidRPr="0065690F">
              <w:t>Tropical root and tuber vegetables (0212000)</w:t>
            </w:r>
          </w:p>
          <w:p w:rsidR="00984DBF" w:rsidRPr="0065690F" w:rsidP="00441372" w14:paraId="706AD5CD" w14:textId="77777777">
            <w:r w:rsidRPr="0065690F">
              <w:t>Other root and tuber vegetables, excluding sugar beets (0213000)</w:t>
            </w:r>
          </w:p>
          <w:p w:rsidR="00984DBF" w:rsidRPr="009922BB" w:rsidP="00441372" w14:paraId="4D990B23" w14:textId="77777777">
            <w:pPr>
              <w:rPr>
                <w:lang w:val="es-ES_tradnl"/>
              </w:rPr>
            </w:pPr>
            <w:r w:rsidRPr="009922BB">
              <w:rPr>
                <w:lang w:val="es-ES_tradnl"/>
              </w:rPr>
              <w:t>Bulb vegetables (0220000)</w:t>
            </w:r>
          </w:p>
          <w:p w:rsidR="00984DBF" w:rsidRPr="009922BB" w:rsidP="00441372" w14:paraId="034D2CB0" w14:textId="77777777">
            <w:pPr>
              <w:rPr>
                <w:lang w:val="es-ES_tradnl"/>
              </w:rPr>
            </w:pPr>
            <w:r w:rsidRPr="009922BB">
              <w:rPr>
                <w:lang w:val="es-ES_tradnl"/>
              </w:rPr>
              <w:t>Solanaceae and Malvaceae (0231000)</w:t>
            </w:r>
          </w:p>
          <w:p w:rsidR="00984DBF" w:rsidRPr="0065690F" w:rsidP="00441372" w14:paraId="42B80FCA" w14:textId="77777777">
            <w:r w:rsidRPr="0065690F">
              <w:t>Cucurbits with edible peel (0232000)</w:t>
            </w:r>
          </w:p>
          <w:p w:rsidR="00984DBF" w:rsidRPr="0065690F" w:rsidP="00441372" w14:paraId="2A428689" w14:textId="77777777">
            <w:r w:rsidRPr="0065690F">
              <w:t>Cucurbits with inedible peel (0233000)</w:t>
            </w:r>
          </w:p>
          <w:p w:rsidR="00984DBF" w:rsidRPr="0065690F" w:rsidP="00441372" w14:paraId="5530118E" w14:textId="77777777">
            <w:r w:rsidRPr="0065690F">
              <w:t>Sweet corn (0234000)</w:t>
            </w:r>
          </w:p>
          <w:p w:rsidR="00984DBF" w:rsidRPr="0065690F" w:rsidP="00441372" w14:paraId="301E61FC" w14:textId="77777777">
            <w:r w:rsidRPr="0065690F">
              <w:t>Other fruiting vegetables (0239000)</w:t>
            </w:r>
          </w:p>
          <w:p w:rsidR="00984DBF" w:rsidRPr="0065690F" w:rsidP="00441372" w14:paraId="18A1BB85" w14:textId="77777777">
            <w:r w:rsidRPr="0065690F">
              <w:t>Flowering brassica (0241000)</w:t>
            </w:r>
          </w:p>
          <w:p w:rsidR="00984DBF" w:rsidRPr="0065690F" w:rsidP="00441372" w14:paraId="0FA38EEC" w14:textId="77777777">
            <w:r w:rsidRPr="0065690F">
              <w:t>Head brassica (0242000)</w:t>
            </w:r>
          </w:p>
          <w:p w:rsidR="00984DBF" w:rsidRPr="0065690F" w:rsidP="00441372" w14:paraId="10AEB0A7" w14:textId="77777777">
            <w:r w:rsidRPr="0065690F">
              <w:t>Leafy brassica (0243000)</w:t>
            </w:r>
          </w:p>
          <w:p w:rsidR="00984DBF" w:rsidRPr="0065690F" w:rsidP="00441372" w14:paraId="18BBC3FF" w14:textId="77777777">
            <w:r w:rsidRPr="0065690F">
              <w:t>Kohlrabies (0244000)</w:t>
            </w:r>
          </w:p>
          <w:p w:rsidR="00984DBF" w:rsidRPr="0065690F" w:rsidP="00441372" w14:paraId="765AD27E" w14:textId="77777777">
            <w:r w:rsidRPr="0065690F">
              <w:t>Lettuces and salad plants (0251000)</w:t>
            </w:r>
          </w:p>
          <w:p w:rsidR="00984DBF" w:rsidRPr="0065690F" w:rsidP="00441372" w14:paraId="154A2935" w14:textId="77777777">
            <w:r w:rsidRPr="0065690F">
              <w:t>Spinaches and similar leaves (0252000)</w:t>
            </w:r>
          </w:p>
          <w:p w:rsidR="00984DBF" w:rsidRPr="0065690F" w:rsidP="00441372" w14:paraId="591B8C6D" w14:textId="77777777">
            <w:r w:rsidRPr="0065690F">
              <w:t>Grape leaves and similar species (0253000)</w:t>
            </w:r>
          </w:p>
          <w:p w:rsidR="00984DBF" w:rsidRPr="0065690F" w:rsidP="00441372" w14:paraId="10E717F4" w14:textId="77777777">
            <w:r w:rsidRPr="0065690F">
              <w:t>Watercresses (0254000)</w:t>
            </w:r>
          </w:p>
          <w:p w:rsidR="00984DBF" w:rsidRPr="0065690F" w:rsidP="00441372" w14:paraId="0C8EA3C4" w14:textId="77777777">
            <w:r w:rsidRPr="0065690F">
              <w:t>Witloofs/Belgian endives (0255000)</w:t>
            </w:r>
          </w:p>
          <w:p w:rsidR="00984DBF" w:rsidRPr="0065690F" w:rsidP="00441372" w14:paraId="572D4B8D" w14:textId="77777777">
            <w:r w:rsidRPr="0065690F">
              <w:t>Legume vegetables (0260000)</w:t>
            </w:r>
          </w:p>
          <w:p w:rsidR="00984DBF" w:rsidRPr="0065690F" w:rsidP="00441372" w14:paraId="7FB846A5" w14:textId="77777777">
            <w:r w:rsidRPr="0065690F">
              <w:t>Stem vegetables (0270000)</w:t>
            </w:r>
          </w:p>
          <w:p w:rsidR="00984DBF" w:rsidRPr="0065690F" w:rsidP="00441372" w14:paraId="5B7B33C2" w14:textId="77777777">
            <w:r w:rsidRPr="0065690F">
              <w:t>Fungi, mosses and lichens (0280000)</w:t>
            </w:r>
          </w:p>
          <w:p w:rsidR="00984DBF" w:rsidRPr="0065690F" w:rsidP="00441372" w14:paraId="207D7138" w14:textId="77777777">
            <w:r w:rsidRPr="0065690F">
              <w:t>Algae and prokaryotic organisms (0290000)</w:t>
            </w:r>
          </w:p>
          <w:p w:rsidR="00984DBF" w:rsidRPr="0065690F" w:rsidP="007673A8" w14:paraId="076D3FB9" w14:textId="77777777">
            <w:pPr>
              <w:spacing w:after="120"/>
            </w:pPr>
            <w:r w:rsidRPr="0065690F">
              <w:t>Pulses, dry (0300000)</w:t>
            </w:r>
          </w:p>
          <w:p w:rsidR="00984DBF" w:rsidRPr="0065690F" w:rsidP="007673A8" w14:paraId="05324F89" w14:textId="77777777">
            <w:pPr>
              <w:spacing w:before="240"/>
            </w:pPr>
            <w:r w:rsidRPr="0065690F">
              <w:t>Oilseeds (0401000)</w:t>
            </w:r>
          </w:p>
          <w:p w:rsidR="00984DBF" w:rsidRPr="0065690F" w:rsidP="00441372" w14:paraId="7621FE80" w14:textId="77777777">
            <w:r w:rsidRPr="0065690F">
              <w:t>Oil fruits (0402000)</w:t>
            </w:r>
          </w:p>
          <w:p w:rsidR="00984DBF" w:rsidRPr="0065690F" w:rsidP="00441372" w14:paraId="112D7C7F" w14:textId="77777777">
            <w:r w:rsidRPr="0065690F">
              <w:t>Cereals (0500000)</w:t>
            </w:r>
          </w:p>
          <w:p w:rsidR="00984DBF" w:rsidRPr="0065690F" w:rsidP="00441372" w14:paraId="190DE1B1" w14:textId="77777777">
            <w:r w:rsidRPr="0065690F">
              <w:t>Sugar plants (0900000)</w:t>
            </w:r>
          </w:p>
          <w:p w:rsidR="00984DBF" w:rsidRPr="0065690F" w:rsidP="00441372" w14:paraId="4497F6B4" w14:textId="77777777">
            <w:r w:rsidRPr="0065690F">
              <w:t>Swine (1011000)</w:t>
            </w:r>
          </w:p>
          <w:p w:rsidR="00984DBF" w:rsidRPr="0065690F" w:rsidP="00441372" w14:paraId="14E02219" w14:textId="77777777">
            <w:r w:rsidRPr="0065690F">
              <w:t>Bovine (1012000)</w:t>
            </w:r>
          </w:p>
          <w:p w:rsidR="00984DBF" w:rsidRPr="0065690F" w:rsidP="00441372" w14:paraId="7588D03A" w14:textId="77777777">
            <w:r w:rsidRPr="0065690F">
              <w:t>Sheep (1013000)</w:t>
            </w:r>
          </w:p>
          <w:p w:rsidR="00984DBF" w:rsidRPr="0065690F" w:rsidP="00441372" w14:paraId="1CA93549" w14:textId="77777777">
            <w:r w:rsidRPr="0065690F">
              <w:t>Goat (1014000)</w:t>
            </w:r>
          </w:p>
          <w:p w:rsidR="00984DBF" w:rsidRPr="0065690F" w:rsidP="009922BB" w14:paraId="226E00DF" w14:textId="77777777">
            <w:pPr>
              <w:spacing w:after="120"/>
            </w:pPr>
            <w:r w:rsidRPr="0065690F">
              <w:t>Poultry (1016000)</w:t>
            </w:r>
          </w:p>
          <w:p w:rsidR="00984DBF" w:rsidRPr="0065690F" w:rsidP="009922BB" w14:paraId="71242C32" w14:textId="77777777">
            <w:pPr>
              <w:spacing w:after="120"/>
            </w:pPr>
            <w:r w:rsidRPr="0065690F">
              <w:t>The GB MRLs for other commodities remain unchanged.</w:t>
            </w:r>
          </w:p>
          <w:p w:rsidR="00984DBF" w:rsidRPr="0065690F" w:rsidP="00441372" w14:paraId="13C07B6B" w14:textId="6C4BC776">
            <w:pPr>
              <w:spacing w:after="120"/>
            </w:pPr>
            <w:r w:rsidRPr="009922BB">
              <w:rPr>
                <w:sz w:val="16"/>
                <w:szCs w:val="20"/>
              </w:rPr>
              <w:t>*</w:t>
            </w:r>
            <w:r w:rsidRPr="009922BB" w:rsidR="009922BB">
              <w:rPr>
                <w:sz w:val="16"/>
                <w:szCs w:val="20"/>
              </w:rPr>
              <w:t xml:space="preserve"> </w:t>
            </w:r>
            <w:r w:rsidRPr="009922BB">
              <w:rPr>
                <w:sz w:val="16"/>
                <w:szCs w:val="20"/>
              </w:rPr>
              <w:t xml:space="preserve">For reference, the full list of GB commodity codes is set out in Part 1 of the GB pesticides Maximum Residue Level Statutory Register – see </w:t>
            </w:r>
            <w:hyperlink r:id="rId4" w:history="1">
              <w:r w:rsidRPr="009922BB">
                <w:rPr>
                  <w:color w:val="0000FF"/>
                  <w:sz w:val="16"/>
                  <w:szCs w:val="20"/>
                  <w:u w:val="single"/>
                </w:rPr>
                <w:t>link</w:t>
              </w:r>
            </w:hyperlink>
            <w:r w:rsidRPr="009922BB">
              <w:rPr>
                <w:sz w:val="16"/>
                <w:szCs w:val="20"/>
              </w:rPr>
              <w:t>).</w:t>
            </w:r>
          </w:p>
        </w:tc>
      </w:tr>
      <w:tr w14:paraId="7B6FE03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C4AB105"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7875DC2A"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5C8C1ECF"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0686C63E"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4C4A4FA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DFA41FB"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54C1E81D" w14:textId="0A3CDA29">
            <w:pPr>
              <w:spacing w:before="120" w:after="120"/>
            </w:pPr>
            <w:r w:rsidRPr="00441372">
              <w:rPr>
                <w:b/>
              </w:rPr>
              <w:t>Title of the notified document:</w:t>
            </w:r>
            <w:r w:rsidRPr="0065690F">
              <w:t xml:space="preserve"> </w:t>
            </w:r>
            <w:r w:rsidRPr="0065690F">
              <w:t xml:space="preserve">Proposed GB MRLs for fenamiphos amending the </w:t>
            </w:r>
            <w:r w:rsidRPr="0065690F" w:rsidR="009922BB">
              <w:t>GB</w:t>
            </w:r>
            <w:r w:rsidR="009922BB">
              <w:t> </w:t>
            </w:r>
            <w:r w:rsidRPr="0065690F">
              <w:t>MRL Statutory Register</w:t>
            </w:r>
            <w:r w:rsidRPr="00441372" w:rsidR="007E510C">
              <w:t>.</w:t>
            </w:r>
            <w:r w:rsidRPr="00441372">
              <w:rPr>
                <w:b/>
              </w:rPr>
              <w:t xml:space="preserve"> Language(s):</w:t>
            </w:r>
            <w:r w:rsidRPr="0065690F">
              <w:t xml:space="preserve"> E</w:t>
            </w:r>
            <w:r w:rsidR="00E64856">
              <w:t>nglish</w:t>
            </w:r>
            <w:r w:rsidRPr="00441372" w:rsidR="007E510C">
              <w:rPr>
                <w:bCs/>
              </w:rPr>
              <w:t>.</w:t>
            </w:r>
            <w:r w:rsidRPr="00441372">
              <w:t xml:space="preserve"> </w:t>
            </w:r>
            <w:r w:rsidRPr="00441372">
              <w:rPr>
                <w:b/>
              </w:rPr>
              <w:t>Number of pages:</w:t>
            </w:r>
            <w:r w:rsidRPr="0065690F">
              <w:t xml:space="preserve"> 19</w:t>
            </w:r>
          </w:p>
          <w:p w:rsidR="00EA4725" w:rsidRPr="00441372" w:rsidP="00441372" w14:paraId="2DF287A3" w14:textId="77777777">
            <w:pPr>
              <w:spacing w:after="120"/>
            </w:pPr>
            <w:hyperlink r:id="rId5" w:tgtFrame="_blank" w:history="1">
              <w:r w:rsidRPr="00441372">
                <w:rPr>
                  <w:color w:val="0000FF"/>
                  <w:u w:val="single"/>
                </w:rPr>
                <w:t>https://members.wto.org/crnattachments/2025/SPS/GBR/25_04643_00_e.pdf</w:t>
              </w:r>
            </w:hyperlink>
          </w:p>
        </w:tc>
      </w:tr>
      <w:tr w14:paraId="4B4575B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9DEB8E5"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5068135D" w14:textId="441743F1">
            <w:pPr>
              <w:spacing w:before="120" w:after="120"/>
            </w:pPr>
            <w:r w:rsidRPr="00441372">
              <w:rPr>
                <w:b/>
              </w:rPr>
              <w:t>Description of content:</w:t>
            </w:r>
            <w:r w:rsidRPr="0065690F">
              <w:t xml:space="preserve"> </w:t>
            </w:r>
            <w:r w:rsidRPr="0065690F">
              <w:t>Fenamiphos is not an approved active substance in Great Britain (GB). Following a review under the G</w:t>
            </w:r>
            <w:r w:rsidRPr="0065690F">
              <w:t>B</w:t>
            </w:r>
            <w:r w:rsidRPr="0065690F">
              <w:t xml:space="preserve"> regulatory regime, the Health and Safety Executive (HSE) has carried out a review of the Maximum Residue Levels (MRLs) for fenamiphos currently established in </w:t>
            </w:r>
            <w:r w:rsidRPr="0065690F" w:rsidR="007673A8">
              <w:t>Great Britain</w:t>
            </w:r>
            <w:r w:rsidRPr="0065690F">
              <w:t>.</w:t>
            </w:r>
          </w:p>
          <w:p w:rsidR="00984DBF" w:rsidRPr="0065690F" w:rsidP="00441372" w14:paraId="43BBBF63" w14:textId="4B965BE0">
            <w:pPr>
              <w:spacing w:before="120" w:after="120"/>
            </w:pPr>
            <w:r w:rsidRPr="0065690F">
              <w:t>The review considered Codex MRLs (CXLs), and the following are proposed for adoption: Apples and Bananas</w:t>
            </w:r>
            <w:r w:rsidR="007673A8">
              <w:t>.</w:t>
            </w:r>
          </w:p>
          <w:p w:rsidR="00984DBF" w:rsidRPr="0065690F" w:rsidP="00441372" w14:paraId="14AA0253" w14:textId="77777777">
            <w:pPr>
              <w:spacing w:before="120" w:after="120"/>
            </w:pPr>
            <w:r w:rsidRPr="0065690F">
              <w:t>The CXLs for products of animal origin are equivalent to the proposed GB MRLs which are either being lowered or retained at the current value. The evaluation concluded that existing GB MRLs for all other commodities do not provide adequate consumer protection and do not meet the UK's appropriate level of protection. As a result, these MRLs are recommended to be lowered to the limit of quantification (LOQ).</w:t>
            </w:r>
          </w:p>
          <w:p w:rsidR="00984DBF" w:rsidRPr="0065690F" w:rsidP="00441372" w14:paraId="686E66AB" w14:textId="1FD740C6">
            <w:pPr>
              <w:spacing w:before="120" w:after="120"/>
            </w:pPr>
            <w:r w:rsidRPr="009922BB">
              <w:t>The draft Reasoned Opinion on the review of the MRLs is available at the following link:</w:t>
            </w:r>
            <w:r w:rsidR="009922BB">
              <w:t xml:space="preserve"> </w:t>
            </w:r>
            <w:hyperlink r:id="rId6" w:history="1">
              <w:r w:rsidRPr="0065690F">
                <w:rPr>
                  <w:color w:val="0000FF"/>
                  <w:u w:val="single"/>
                </w:rPr>
                <w:t>The review of the existing MRLs for fenamiphos</w:t>
              </w:r>
            </w:hyperlink>
            <w:r w:rsidRPr="0065690F" w:rsidR="009922BB">
              <w:t>.</w:t>
            </w:r>
          </w:p>
          <w:p w:rsidR="00984DBF" w:rsidRPr="0065690F" w:rsidP="00441372" w14:paraId="6E659D03" w14:textId="77777777">
            <w:pPr>
              <w:spacing w:before="120" w:after="120"/>
            </w:pPr>
            <w:r w:rsidRPr="0065690F">
              <w:t>The residue levels arising in food from the notified uses result in consumer exposures below the toxicological reference values and therefore harmful effects on human health are not expected.</w:t>
            </w:r>
          </w:p>
        </w:tc>
      </w:tr>
      <w:tr w14:paraId="597F191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2C12660"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06E9FC42"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53D9F63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BF33CA8"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3D6AF20A" w14:textId="77777777">
            <w:pPr>
              <w:spacing w:before="120" w:after="120"/>
            </w:pPr>
            <w:r w:rsidRPr="00441372">
              <w:rPr>
                <w:b/>
              </w:rPr>
              <w:t>Is there a relevant international standard? If so, identify the standard:</w:t>
            </w:r>
          </w:p>
          <w:p w:rsidR="00EA4725" w:rsidRPr="00441372" w:rsidP="00441372" w14:paraId="4AD450F5" w14:textId="77777777">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r w:rsidRPr="0065690F">
              <w:t>Codex standard derived from JMPR active substance number 85</w:t>
            </w:r>
          </w:p>
          <w:p w:rsidR="00EA4725" w:rsidRPr="00441372" w:rsidP="00441372" w14:paraId="4E32B35A"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0A175033"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3B6C7976" w14:textId="77777777">
            <w:pPr>
              <w:spacing w:after="120"/>
              <w:ind w:left="720" w:hanging="720"/>
              <w:rPr>
                <w:b/>
              </w:rPr>
            </w:pPr>
            <w:r w:rsidRPr="00441372">
              <w:rPr>
                <w:b/>
              </w:rPr>
              <w:t>[ ]</w:t>
            </w:r>
            <w:r w:rsidRPr="00441372">
              <w:rPr>
                <w:b/>
              </w:rPr>
              <w:tab/>
              <w:t>None</w:t>
            </w:r>
          </w:p>
          <w:p w:rsidR="00EA4725" w:rsidRPr="00441372" w:rsidP="00441372" w14:paraId="4B7C81E7" w14:textId="77777777">
            <w:pPr>
              <w:spacing w:after="120"/>
              <w:rPr>
                <w:b/>
              </w:rPr>
            </w:pPr>
            <w:r w:rsidRPr="00441372">
              <w:rPr>
                <w:b/>
              </w:rPr>
              <w:t xml:space="preserve">Does this proposed regulation conform to the relevant international standard? </w:t>
            </w:r>
          </w:p>
          <w:p w:rsidR="00EA4725" w:rsidRPr="00441372" w:rsidP="00441372" w14:paraId="02905330" w14:textId="77777777">
            <w:pPr>
              <w:spacing w:after="120"/>
              <w:rPr>
                <w:b/>
              </w:rPr>
            </w:pPr>
            <w:r w:rsidRPr="00441372">
              <w:rPr>
                <w:b/>
              </w:rPr>
              <w:t>[ ] Yes   [X] No</w:t>
            </w:r>
          </w:p>
          <w:p w:rsidR="00EA4725" w:rsidRPr="00441372" w:rsidP="009922BB" w14:paraId="75D40ADC" w14:textId="624F8CB8">
            <w:pPr>
              <w:spacing w:before="240" w:after="120"/>
            </w:pPr>
            <w:r w:rsidRPr="00441372">
              <w:rPr>
                <w:b/>
              </w:rPr>
              <w:t>If no, describe, whenever possible, how and why it deviates from the international standard:</w:t>
            </w:r>
            <w:r w:rsidRPr="0065690F">
              <w:t xml:space="preserve"> CXLs are being adopted for apples (0.05* mg/kg) and bananas (0.05* mg/kg). The proposed GB MRLs for products of animal origin are equivalent to the CXLs.</w:t>
            </w:r>
          </w:p>
          <w:p w:rsidR="00984DBF" w:rsidRPr="0065690F" w:rsidP="00441372" w14:paraId="62B1A37E" w14:textId="77777777">
            <w:pPr>
              <w:spacing w:after="120"/>
            </w:pPr>
            <w:r w:rsidRPr="0065690F">
              <w:t>The CXLs for Brussels sprouts (0.05 mg/kg), head cabbages (0.05 mg/kg), cotton seed (0.05* mg/kg), melons (0.05 mg/kg) and peanuts (0.05* mg/kg) are not proposed for adoption. Following review of the available evidence, it has been determined that these CXLs do not meet the appropriate level of protection for UK consumers.</w:t>
            </w:r>
          </w:p>
        </w:tc>
      </w:tr>
      <w:tr w14:paraId="30AFAA7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BC73C7F"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5568CDE5"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09C0CAF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E2BCD74"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5175D1C0"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14 November 2025</w:t>
            </w:r>
          </w:p>
          <w:p w:rsidR="00EA4725" w:rsidRPr="00441372" w:rsidP="00441372" w14:paraId="2FFCA132"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14 November 2025</w:t>
            </w:r>
          </w:p>
        </w:tc>
      </w:tr>
      <w:tr w14:paraId="6CE4E01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4372A5D"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13611A50"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14 May 2026</w:t>
            </w:r>
          </w:p>
          <w:p w:rsidR="00EA4725" w:rsidRPr="00441372" w:rsidP="00441372" w14:paraId="0F3B3174" w14:textId="77777777">
            <w:pPr>
              <w:spacing w:after="120"/>
              <w:ind w:left="607" w:hanging="607"/>
              <w:rPr>
                <w:b/>
              </w:rPr>
            </w:pPr>
            <w:r w:rsidRPr="00441372">
              <w:rPr>
                <w:b/>
              </w:rPr>
              <w:t>[ ]</w:t>
            </w:r>
            <w:r w:rsidRPr="00441372">
              <w:rPr>
                <w:b/>
              </w:rPr>
              <w:tab/>
            </w:r>
            <w:r w:rsidRPr="00441372">
              <w:rPr>
                <w:b/>
              </w:rPr>
              <w:t>Trade facilitating measure</w:t>
            </w:r>
            <w:r w:rsidRPr="0065690F">
              <w:t xml:space="preserve"> </w:t>
            </w:r>
          </w:p>
        </w:tc>
      </w:tr>
      <w:tr w14:paraId="149E656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374DD78"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556110A5" w14:textId="0B0C876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w:t>
            </w:r>
            <w:r w:rsidR="009922BB">
              <w:t>14 September 2025</w:t>
            </w:r>
          </w:p>
          <w:p w:rsidR="00EA4725" w:rsidRPr="00441372" w:rsidP="00441372" w14:paraId="07C871CC" w14:textId="77777777">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rsidR="00984DBF" w:rsidRPr="0065690F" w:rsidP="00441372" w14:paraId="2FC24925" w14:textId="77777777">
            <w:r w:rsidRPr="0065690F">
              <w:t>UK WTO SPS National Notification Authority and Enquiry Point</w:t>
            </w:r>
          </w:p>
          <w:p w:rsidR="00984DBF" w:rsidRPr="0065690F" w:rsidP="00441372" w14:paraId="4B7CE675" w14:textId="77777777">
            <w:r w:rsidRPr="0065690F">
              <w:t>Department for Environment, Food and Rural Affairs</w:t>
            </w:r>
          </w:p>
          <w:p w:rsidR="00984DBF" w:rsidRPr="0065690F" w:rsidP="00441372" w14:paraId="11A2046D" w14:textId="77777777">
            <w:r w:rsidRPr="0065690F">
              <w:t>Seacole Building</w:t>
            </w:r>
          </w:p>
          <w:p w:rsidR="00984DBF" w:rsidRPr="0065690F" w:rsidP="00441372" w14:paraId="0F908EFC" w14:textId="77777777">
            <w:r w:rsidRPr="0065690F">
              <w:t>2 Marsham St</w:t>
            </w:r>
          </w:p>
          <w:p w:rsidR="00984DBF" w:rsidRPr="0065690F" w:rsidP="00441372" w14:paraId="37CA14AB" w14:textId="77777777">
            <w:r w:rsidRPr="0065690F">
              <w:t>London SW1P 4DF</w:t>
            </w:r>
          </w:p>
          <w:p w:rsidR="00984DBF" w:rsidRPr="0065690F" w:rsidP="00441372" w14:paraId="5E87A3A9" w14:textId="191C49F2">
            <w:pPr>
              <w:spacing w:after="120"/>
            </w:pPr>
            <w:r w:rsidRPr="0065690F">
              <w:t>E</w:t>
            </w:r>
            <w:r>
              <w:t>-</w:t>
            </w:r>
            <w:r w:rsidRPr="0065690F">
              <w:t xml:space="preserve">mail: </w:t>
            </w:r>
            <w:hyperlink r:id="rId7" w:history="1">
              <w:r w:rsidRPr="0065690F">
                <w:rPr>
                  <w:color w:val="0000FF"/>
                  <w:u w:val="single"/>
                </w:rPr>
                <w:t>UKSPS@defra.gov.uk</w:t>
              </w:r>
            </w:hyperlink>
          </w:p>
        </w:tc>
      </w:tr>
      <w:tr w14:paraId="6049AD94" w14:textId="77777777" w:rsidTr="00F3021D">
        <w:tblPrEx>
          <w:tblW w:w="5000" w:type="pct"/>
          <w:tblLayout w:type="fixed"/>
          <w:tblLook w:val="0000"/>
        </w:tblPrEx>
        <w:tc>
          <w:tcPr>
            <w:tcW w:w="707" w:type="dxa"/>
            <w:tcBorders>
              <w:top w:val="single" w:sz="6" w:space="0" w:color="auto"/>
            </w:tcBorders>
          </w:tcPr>
          <w:p w:rsidR="00EA4725" w:rsidRPr="00441372" w:rsidP="00F3021D" w14:paraId="1BA62167"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4F5C2A3C" w14:textId="77777777">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rsidR="00EA4725" w:rsidRPr="0065690F" w:rsidP="00F3021D" w14:paraId="1DCD1405" w14:textId="77777777">
            <w:pPr>
              <w:keepNext/>
              <w:keepLines/>
              <w:rPr>
                <w:bCs/>
              </w:rPr>
            </w:pPr>
            <w:r w:rsidRPr="0065690F">
              <w:rPr>
                <w:bCs/>
              </w:rPr>
              <w:t>UK WTO SPS National Notification Authority and Enquiry Point</w:t>
            </w:r>
          </w:p>
          <w:p w:rsidR="00EA4725" w:rsidRPr="0065690F" w:rsidP="00F3021D" w14:paraId="5F85BD96" w14:textId="77777777">
            <w:pPr>
              <w:keepNext/>
              <w:keepLines/>
              <w:rPr>
                <w:bCs/>
              </w:rPr>
            </w:pPr>
            <w:r w:rsidRPr="0065690F">
              <w:rPr>
                <w:bCs/>
              </w:rPr>
              <w:t>Department for Environment, Food and Rural Affairs</w:t>
            </w:r>
          </w:p>
          <w:p w:rsidR="00EA4725" w:rsidRPr="0065690F" w:rsidP="00F3021D" w14:paraId="28C6FF0E" w14:textId="77777777">
            <w:pPr>
              <w:keepNext/>
              <w:keepLines/>
              <w:rPr>
                <w:bCs/>
              </w:rPr>
            </w:pPr>
            <w:r w:rsidRPr="0065690F">
              <w:rPr>
                <w:bCs/>
              </w:rPr>
              <w:t>Seacole Building</w:t>
            </w:r>
          </w:p>
          <w:p w:rsidR="00EA4725" w:rsidRPr="0065690F" w:rsidP="00F3021D" w14:paraId="75339493" w14:textId="77777777">
            <w:pPr>
              <w:keepNext/>
              <w:keepLines/>
              <w:rPr>
                <w:bCs/>
              </w:rPr>
            </w:pPr>
            <w:r w:rsidRPr="0065690F">
              <w:rPr>
                <w:bCs/>
              </w:rPr>
              <w:t>2 Marsham St</w:t>
            </w:r>
          </w:p>
          <w:p w:rsidR="00EA4725" w:rsidRPr="0065690F" w:rsidP="00F3021D" w14:paraId="56D7B919" w14:textId="77777777">
            <w:pPr>
              <w:keepNext/>
              <w:keepLines/>
              <w:rPr>
                <w:bCs/>
              </w:rPr>
            </w:pPr>
            <w:r w:rsidRPr="0065690F">
              <w:rPr>
                <w:bCs/>
              </w:rPr>
              <w:t>London SW1P 4DF</w:t>
            </w:r>
          </w:p>
          <w:p w:rsidR="00EA4725" w:rsidRPr="0065690F" w:rsidP="00F3021D" w14:paraId="2CE4CAED" w14:textId="3BC53F5B">
            <w:pPr>
              <w:keepNext/>
              <w:keepLines/>
              <w:spacing w:after="120"/>
              <w:rPr>
                <w:bCs/>
              </w:rPr>
            </w:pPr>
            <w:r w:rsidRPr="0065690F">
              <w:rPr>
                <w:bCs/>
              </w:rPr>
              <w:t>E</w:t>
            </w:r>
            <w:r>
              <w:rPr>
                <w:bCs/>
              </w:rPr>
              <w:t>-</w:t>
            </w:r>
            <w:r w:rsidRPr="0065690F">
              <w:rPr>
                <w:bCs/>
              </w:rPr>
              <w:t xml:space="preserve">mail: </w:t>
            </w:r>
            <w:hyperlink r:id="rId7" w:history="1">
              <w:r w:rsidRPr="0065690F">
                <w:rPr>
                  <w:bCs/>
                  <w:color w:val="0000FF"/>
                  <w:u w:val="single"/>
                </w:rPr>
                <w:t>UKSPS@defra.gov.uk</w:t>
              </w:r>
            </w:hyperlink>
          </w:p>
        </w:tc>
      </w:tr>
    </w:tbl>
    <w:p w:rsidR="007141CF" w:rsidRPr="00441372" w:rsidP="00441372" w14:paraId="0594EB8C" w14:textId="77777777"/>
    <w:sectPr w:rsidSect="009922B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9922BB" w:rsidP="009922BB" w14:paraId="1F329136" w14:textId="0F7DB83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9922BB" w:rsidP="009922BB" w14:paraId="0CC2C866" w14:textId="4755E15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1D3BB828"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2BB" w:rsidRPr="009922BB" w:rsidP="009922BB" w14:paraId="29BD3C64" w14:textId="77777777">
    <w:pPr>
      <w:pStyle w:val="Header"/>
      <w:pBdr>
        <w:bottom w:val="single" w:sz="4" w:space="1" w:color="auto"/>
      </w:pBdr>
      <w:tabs>
        <w:tab w:val="clear" w:pos="4513"/>
        <w:tab w:val="clear" w:pos="9027"/>
      </w:tabs>
      <w:jc w:val="center"/>
    </w:pPr>
    <w:r w:rsidRPr="009922BB">
      <w:t>G/SPS/N/GBR/104</w:t>
    </w:r>
  </w:p>
  <w:p w:rsidR="009922BB" w:rsidRPr="009922BB" w:rsidP="009922BB" w14:paraId="50C94BD9" w14:textId="77777777">
    <w:pPr>
      <w:pStyle w:val="Header"/>
      <w:pBdr>
        <w:bottom w:val="single" w:sz="4" w:space="1" w:color="auto"/>
      </w:pBdr>
      <w:tabs>
        <w:tab w:val="clear" w:pos="4513"/>
        <w:tab w:val="clear" w:pos="9027"/>
      </w:tabs>
      <w:jc w:val="center"/>
    </w:pPr>
  </w:p>
  <w:p w:rsidR="009922BB" w:rsidRPr="009922BB" w:rsidP="009922BB" w14:paraId="541778FA" w14:textId="5BC28731">
    <w:pPr>
      <w:pStyle w:val="Header"/>
      <w:pBdr>
        <w:bottom w:val="single" w:sz="4" w:space="1" w:color="auto"/>
      </w:pBdr>
      <w:tabs>
        <w:tab w:val="clear" w:pos="4513"/>
        <w:tab w:val="clear" w:pos="9027"/>
      </w:tabs>
      <w:jc w:val="center"/>
    </w:pPr>
    <w:r w:rsidRPr="009922BB">
      <w:t xml:space="preserve">- </w:t>
    </w:r>
    <w:r w:rsidRPr="009922BB">
      <w:fldChar w:fldCharType="begin"/>
    </w:r>
    <w:r w:rsidRPr="009922BB">
      <w:instrText xml:space="preserve"> PAGE </w:instrText>
    </w:r>
    <w:r w:rsidRPr="009922BB">
      <w:fldChar w:fldCharType="separate"/>
    </w:r>
    <w:r w:rsidRPr="009922BB">
      <w:t>2</w:t>
    </w:r>
    <w:r w:rsidRPr="009922BB">
      <w:fldChar w:fldCharType="end"/>
    </w:r>
    <w:r w:rsidRPr="009922BB">
      <w:t xml:space="preserve"> -</w:t>
    </w:r>
  </w:p>
  <w:p w:rsidR="00EA4725" w:rsidRPr="009922BB" w:rsidP="009922BB" w14:paraId="437807C5" w14:textId="10E59F2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2BB" w:rsidRPr="009922BB" w:rsidP="009922BB" w14:paraId="31D9A10C" w14:textId="77777777">
    <w:pPr>
      <w:pStyle w:val="Header"/>
      <w:pBdr>
        <w:bottom w:val="single" w:sz="4" w:space="1" w:color="auto"/>
      </w:pBdr>
      <w:tabs>
        <w:tab w:val="clear" w:pos="4513"/>
        <w:tab w:val="clear" w:pos="9027"/>
      </w:tabs>
      <w:jc w:val="center"/>
    </w:pPr>
    <w:r w:rsidRPr="009922BB">
      <w:t>G/SPS/N/GBR/104</w:t>
    </w:r>
  </w:p>
  <w:p w:rsidR="009922BB" w:rsidRPr="009922BB" w:rsidP="009922BB" w14:paraId="06A55CCC" w14:textId="77777777">
    <w:pPr>
      <w:pStyle w:val="Header"/>
      <w:pBdr>
        <w:bottom w:val="single" w:sz="4" w:space="1" w:color="auto"/>
      </w:pBdr>
      <w:tabs>
        <w:tab w:val="clear" w:pos="4513"/>
        <w:tab w:val="clear" w:pos="9027"/>
      </w:tabs>
      <w:jc w:val="center"/>
    </w:pPr>
  </w:p>
  <w:p w:rsidR="009922BB" w:rsidRPr="009922BB" w:rsidP="009922BB" w14:paraId="6BB260C6" w14:textId="050407A1">
    <w:pPr>
      <w:pStyle w:val="Header"/>
      <w:pBdr>
        <w:bottom w:val="single" w:sz="4" w:space="1" w:color="auto"/>
      </w:pBdr>
      <w:tabs>
        <w:tab w:val="clear" w:pos="4513"/>
        <w:tab w:val="clear" w:pos="9027"/>
      </w:tabs>
      <w:jc w:val="center"/>
    </w:pPr>
    <w:r w:rsidRPr="009922BB">
      <w:t xml:space="preserve">- </w:t>
    </w:r>
    <w:r w:rsidRPr="009922BB">
      <w:fldChar w:fldCharType="begin"/>
    </w:r>
    <w:r w:rsidRPr="009922BB">
      <w:instrText xml:space="preserve"> PAGE </w:instrText>
    </w:r>
    <w:r w:rsidRPr="009922BB">
      <w:fldChar w:fldCharType="separate"/>
    </w:r>
    <w:r w:rsidRPr="009922BB">
      <w:t>3</w:t>
    </w:r>
    <w:r w:rsidRPr="009922BB">
      <w:fldChar w:fldCharType="end"/>
    </w:r>
    <w:r w:rsidRPr="009922BB">
      <w:t xml:space="preserve"> -</w:t>
    </w:r>
  </w:p>
  <w:p w:rsidR="00EA4725" w:rsidRPr="009922BB" w:rsidP="009922BB" w14:paraId="47812099" w14:textId="651181E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9689B9F"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28952CB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7DE08559" w14:textId="2E963208">
          <w:pPr>
            <w:jc w:val="right"/>
            <w:rPr>
              <w:b/>
              <w:color w:val="FF0000"/>
              <w:szCs w:val="16"/>
            </w:rPr>
          </w:pPr>
          <w:r>
            <w:rPr>
              <w:b/>
              <w:color w:val="FF0000"/>
              <w:szCs w:val="16"/>
            </w:rPr>
            <w:t xml:space="preserve"> </w:t>
          </w:r>
        </w:p>
      </w:tc>
    </w:tr>
    <w:bookmarkEnd w:id="0"/>
    <w:tr w14:paraId="5DA0B909"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2D26F901"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4B2B77D3" w14:textId="77777777">
          <w:pPr>
            <w:jc w:val="right"/>
            <w:rPr>
              <w:b/>
              <w:szCs w:val="16"/>
            </w:rPr>
          </w:pPr>
        </w:p>
      </w:tc>
    </w:tr>
    <w:tr w14:paraId="21FFABBE"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79E770DF" w14:textId="77777777">
          <w:pPr>
            <w:jc w:val="left"/>
            <w:rPr>
              <w:noProof/>
              <w:lang w:eastAsia="en-GB"/>
            </w:rPr>
          </w:pPr>
        </w:p>
      </w:tc>
      <w:tc>
        <w:tcPr>
          <w:tcW w:w="5448" w:type="dxa"/>
          <w:gridSpan w:val="2"/>
          <w:shd w:val="clear" w:color="auto" w:fill="FFFFFF"/>
          <w:tcMar>
            <w:left w:w="108" w:type="dxa"/>
            <w:right w:w="108" w:type="dxa"/>
          </w:tcMar>
        </w:tcPr>
        <w:p w:rsidR="009922BB" w:rsidP="00656ABC" w14:paraId="0473B87D" w14:textId="77777777">
          <w:pPr>
            <w:jc w:val="right"/>
            <w:rPr>
              <w:b/>
              <w:szCs w:val="16"/>
            </w:rPr>
          </w:pPr>
          <w:bookmarkStart w:id="1" w:name="bmkSymbols"/>
          <w:r>
            <w:rPr>
              <w:b/>
              <w:szCs w:val="16"/>
            </w:rPr>
            <w:t>G/SPS/N/GBR/104</w:t>
          </w:r>
        </w:p>
        <w:bookmarkEnd w:id="1"/>
        <w:p w:rsidR="00656ABC" w:rsidRPr="00EA4725" w:rsidP="00656ABC" w14:paraId="03745C25" w14:textId="34719527">
          <w:pPr>
            <w:jc w:val="right"/>
            <w:rPr>
              <w:b/>
              <w:szCs w:val="16"/>
            </w:rPr>
          </w:pPr>
        </w:p>
      </w:tc>
    </w:tr>
    <w:tr w14:paraId="45AB9C6C"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686C699E" w14:textId="77777777"/>
      </w:tc>
      <w:tc>
        <w:tcPr>
          <w:tcW w:w="5448" w:type="dxa"/>
          <w:gridSpan w:val="2"/>
          <w:shd w:val="clear" w:color="auto" w:fill="FFFFFF"/>
          <w:tcMar>
            <w:left w:w="108" w:type="dxa"/>
            <w:right w:w="108" w:type="dxa"/>
          </w:tcMar>
          <w:vAlign w:val="center"/>
        </w:tcPr>
        <w:p w:rsidR="00ED54E0" w:rsidRPr="00EA4725" w:rsidP="00422B6F" w14:paraId="221CCB2F" w14:textId="77777777">
          <w:pPr>
            <w:jc w:val="right"/>
            <w:rPr>
              <w:szCs w:val="16"/>
            </w:rPr>
          </w:pPr>
          <w:bookmarkStart w:id="2" w:name="spsDateDistribution"/>
          <w:bookmarkStart w:id="3" w:name="bmkDate"/>
          <w:bookmarkEnd w:id="2"/>
          <w:r w:rsidRPr="00EA4725">
            <w:rPr>
              <w:szCs w:val="16"/>
            </w:rPr>
            <w:t>16 July 2025</w:t>
          </w:r>
          <w:bookmarkEnd w:id="3"/>
        </w:p>
      </w:tc>
    </w:tr>
    <w:tr w14:paraId="12A4EAE6"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639CA69C" w14:textId="77777777">
          <w:pPr>
            <w:jc w:val="left"/>
            <w:rPr>
              <w:b/>
            </w:rPr>
          </w:pPr>
          <w:bookmarkStart w:id="4" w:name="bmkSerial"/>
          <w:r>
            <w:rPr>
              <w:b w:val="0"/>
              <w:color w:val="FF0000"/>
            </w:rPr>
            <w:t>(25-4573)</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BB0A48A"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7B3B1AA6"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5BD425D6" w14:textId="4F28EC2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74BC69FE" w14:textId="653216A0">
          <w:pPr>
            <w:jc w:val="right"/>
            <w:rPr>
              <w:bCs/>
              <w:szCs w:val="18"/>
            </w:rPr>
          </w:pPr>
          <w:bookmarkStart w:id="7" w:name="bmkLanguage"/>
          <w:r>
            <w:rPr>
              <w:bCs/>
              <w:szCs w:val="18"/>
            </w:rPr>
            <w:t>Original: English</w:t>
          </w:r>
          <w:bookmarkEnd w:id="7"/>
        </w:p>
      </w:tc>
    </w:tr>
  </w:tbl>
  <w:p w:rsidR="00ED54E0" w:rsidRPr="00441372" w14:paraId="257A49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39067499">
    <w:abstractNumId w:val="9"/>
  </w:num>
  <w:num w:numId="2" w16cid:durableId="628436110">
    <w:abstractNumId w:val="7"/>
  </w:num>
  <w:num w:numId="3" w16cid:durableId="804616890">
    <w:abstractNumId w:val="6"/>
  </w:num>
  <w:num w:numId="4" w16cid:durableId="237592696">
    <w:abstractNumId w:val="5"/>
  </w:num>
  <w:num w:numId="5" w16cid:durableId="1816414750">
    <w:abstractNumId w:val="4"/>
  </w:num>
  <w:num w:numId="6" w16cid:durableId="1650329933">
    <w:abstractNumId w:val="12"/>
  </w:num>
  <w:num w:numId="7" w16cid:durableId="1247037653">
    <w:abstractNumId w:val="11"/>
  </w:num>
  <w:num w:numId="8" w16cid:durableId="132984332">
    <w:abstractNumId w:val="10"/>
  </w:num>
  <w:num w:numId="9" w16cid:durableId="22631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153295">
    <w:abstractNumId w:val="13"/>
  </w:num>
  <w:num w:numId="11" w16cid:durableId="1094399205">
    <w:abstractNumId w:val="8"/>
  </w:num>
  <w:num w:numId="12" w16cid:durableId="846791821">
    <w:abstractNumId w:val="3"/>
  </w:num>
  <w:num w:numId="13" w16cid:durableId="1868061516">
    <w:abstractNumId w:val="2"/>
  </w:num>
  <w:num w:numId="14" w16cid:durableId="312685270">
    <w:abstractNumId w:val="1"/>
  </w:num>
  <w:num w:numId="15" w16cid:durableId="63302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13EF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673A8"/>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4DBF"/>
    <w:rsid w:val="009922BB"/>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B78E4"/>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856"/>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1FE6"/>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B679B"/>
  <w15:docId w15:val="{D26315C4-8DEF-4A42-B2F3-12FF0E9A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9922BB"/>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cure.pesticides.gov.uk/mrls/FoodAndFeedProductsToWhichMRLsApply.pdf" TargetMode="External" /><Relationship Id="rId5" Type="http://schemas.openxmlformats.org/officeDocument/2006/relationships/hyperlink" Target="https://members.wto.org/crnattachments/2025/SPS/GBR/25_04643_00_e.pdf" TargetMode="External" /><Relationship Id="rId6" Type="http://schemas.openxmlformats.org/officeDocument/2006/relationships/hyperlink" Target="https://www.hse.gov.uk/pesticides/assets/docs/mrlr-abaz-0967.pdf" TargetMode="External" /><Relationship Id="rId7" Type="http://schemas.openxmlformats.org/officeDocument/2006/relationships/hyperlink" Target="mailto:UKSPS@defra.gov.uk"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17</cp:revision>
  <dcterms:created xsi:type="dcterms:W3CDTF">2017-07-03T11:19:00Z</dcterms:created>
  <dcterms:modified xsi:type="dcterms:W3CDTF">2025-07-16T13:52:00Z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G/SPS/N/GBR/104</vt:lpwstr>
  </property>
</Properties>
</file>