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E43A96" w14:paraId="47EB9421" w14:textId="77777777">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5D33DCFD" w14:textId="77777777" w:rsidTr="00F3021D">
        <w:tblPrEx>
          <w:tblW w:w="5000" w:type="pct"/>
          <w:tblLayout w:type="fixed"/>
          <w:tblLook w:val="0000"/>
        </w:tblPrEx>
        <w:tc>
          <w:tcPr>
            <w:tcW w:w="707" w:type="dxa"/>
            <w:tcBorders>
              <w:bottom w:val="single" w:sz="6" w:space="0" w:color="auto"/>
            </w:tcBorders>
          </w:tcPr>
          <w:p w:rsidR="00EA4725" w:rsidRPr="00441372" w:rsidP="00441372" w14:paraId="339E9692"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66033E0C" w14:textId="77777777">
            <w:pPr>
              <w:spacing w:before="120" w:after="120"/>
            </w:pPr>
            <w:r w:rsidRPr="00441372">
              <w:rPr>
                <w:b/>
              </w:rPr>
              <w:t>Notifying Member:</w:t>
            </w:r>
            <w:r w:rsidRPr="0065690F">
              <w:t xml:space="preserve"> </w:t>
            </w:r>
            <w:r w:rsidRPr="0065690F">
              <w:rPr>
                <w:u w:val="single"/>
              </w:rPr>
              <w:t>SWITZERLAND</w:t>
            </w:r>
          </w:p>
          <w:p w:rsidR="00EA4725" w:rsidRPr="00441372" w:rsidP="00441372" w14:paraId="2570387D" w14:textId="77777777">
            <w:pPr>
              <w:spacing w:after="120"/>
            </w:pPr>
            <w:r w:rsidRPr="00441372">
              <w:rPr>
                <w:b/>
                <w:bCs/>
              </w:rPr>
              <w:t>If applicable, name of local government involved:</w:t>
            </w:r>
            <w:r w:rsidRPr="0065690F">
              <w:rPr>
                <w:bCs/>
              </w:rPr>
              <w:t xml:space="preserve"> </w:t>
            </w:r>
          </w:p>
        </w:tc>
      </w:tr>
      <w:tr w14:paraId="799AE1D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9B1BDFD"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22D251DA" w14:textId="163BEF60">
            <w:pPr>
              <w:spacing w:before="120" w:after="120"/>
            </w:pPr>
            <w:r w:rsidRPr="00441372">
              <w:rPr>
                <w:b/>
              </w:rPr>
              <w:t>Agency responsible:</w:t>
            </w:r>
            <w:r w:rsidRPr="0065690F">
              <w:t xml:space="preserve"> Federal Food Safety and Veterinary Office </w:t>
            </w:r>
            <w:r>
              <w:t>(</w:t>
            </w:r>
            <w:r w:rsidRPr="0065690F">
              <w:t>FSVO</w:t>
            </w:r>
            <w:r>
              <w:t>)</w:t>
            </w:r>
          </w:p>
        </w:tc>
      </w:tr>
      <w:tr w14:paraId="645811B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5D730E0"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6B7AE2B4"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Guar gum</w:t>
            </w:r>
          </w:p>
        </w:tc>
      </w:tr>
      <w:tr w14:paraId="55E1BEB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1ACA347"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77008FB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6B955C47" w14:textId="77777777">
            <w:pPr>
              <w:spacing w:after="120"/>
              <w:ind w:left="607" w:hanging="607"/>
              <w:rPr>
                <w:b/>
              </w:rPr>
            </w:pPr>
            <w:r w:rsidRPr="00441372">
              <w:rPr>
                <w:b/>
              </w:rPr>
              <w:t>[ ]</w:t>
            </w:r>
            <w:r w:rsidRPr="00441372">
              <w:rPr>
                <w:b/>
              </w:rPr>
              <w:tab/>
              <w:t>All trading partners</w:t>
            </w:r>
            <w:r w:rsidRPr="0065690F">
              <w:t xml:space="preserve"> </w:t>
            </w:r>
          </w:p>
          <w:p w:rsidR="00EA4725" w:rsidRPr="00441372" w:rsidP="00441372" w14:paraId="5C020E0C" w14:textId="77777777">
            <w:pPr>
              <w:spacing w:after="120"/>
              <w:ind w:left="607" w:hanging="607"/>
              <w:rPr>
                <w:b/>
              </w:rPr>
            </w:pPr>
            <w:r w:rsidRPr="00441372">
              <w:rPr>
                <w:b/>
                <w:bCs/>
              </w:rPr>
              <w:t>[X]</w:t>
            </w:r>
            <w:r w:rsidRPr="00441372">
              <w:rPr>
                <w:b/>
                <w:bCs/>
              </w:rPr>
              <w:tab/>
              <w:t>Specific regions or countries:</w:t>
            </w:r>
            <w:r w:rsidRPr="0065690F">
              <w:rPr>
                <w:bCs/>
              </w:rPr>
              <w:t xml:space="preserve"> India</w:t>
            </w:r>
          </w:p>
        </w:tc>
      </w:tr>
      <w:tr w14:paraId="5994140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05F7DCD"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7A6A0832" w14:textId="08ADC798">
            <w:pPr>
              <w:spacing w:before="120" w:after="120"/>
            </w:pPr>
            <w:r w:rsidRPr="00E86B9C">
              <w:rPr>
                <w:b/>
              </w:rPr>
              <w:t>Title of the notified document:</w:t>
            </w:r>
            <w:r w:rsidRPr="00E86B9C">
              <w:t xml:space="preserve"> </w:t>
            </w:r>
            <w:r w:rsidRPr="00841153" w:rsidR="00E86B9C">
              <w:rPr>
                <w:lang w:val="en-US"/>
              </w:rPr>
              <w:t>Ordinance of the FSVO governing the import of guar gum originating in or coming from India</w:t>
            </w:r>
            <w:r w:rsidRPr="00E86B9C" w:rsidR="007E510C">
              <w:t>.</w:t>
            </w:r>
            <w:r w:rsidRPr="00E86B9C">
              <w:rPr>
                <w:b/>
              </w:rPr>
              <w:t xml:space="preserve"> </w:t>
            </w:r>
            <w:r w:rsidRPr="00441372">
              <w:rPr>
                <w:b/>
              </w:rPr>
              <w:t>Language(s):</w:t>
            </w:r>
            <w:r w:rsidRPr="0065690F">
              <w:t xml:space="preserve"> French</w:t>
            </w:r>
            <w:r w:rsidRPr="00441372" w:rsidR="007E510C">
              <w:rPr>
                <w:bCs/>
              </w:rPr>
              <w:t>.</w:t>
            </w:r>
            <w:r w:rsidRPr="00441372">
              <w:t xml:space="preserve"> </w:t>
            </w:r>
            <w:r w:rsidRPr="00441372">
              <w:rPr>
                <w:b/>
              </w:rPr>
              <w:t>Number of pages:</w:t>
            </w:r>
            <w:r w:rsidRPr="0065690F">
              <w:t xml:space="preserve"> 1</w:t>
            </w:r>
          </w:p>
          <w:p w:rsidR="00EA4725" w:rsidRPr="00441372" w:rsidP="00441372" w14:paraId="50C9677D" w14:textId="77777777">
            <w:pPr>
              <w:spacing w:after="120"/>
            </w:pPr>
            <w:hyperlink r:id="rId5" w:tgtFrame="_blank" w:history="1">
              <w:r w:rsidRPr="00441372">
                <w:rPr>
                  <w:color w:val="0000FF"/>
                  <w:u w:val="single"/>
                </w:rPr>
                <w:t>https://members.wto.org/crnattachments/2025/SPS/CHE/25_04653_00_f.pdf</w:t>
              </w:r>
            </w:hyperlink>
          </w:p>
        </w:tc>
      </w:tr>
      <w:tr w14:paraId="51B5F26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0D146C8"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17953243" w14:textId="2D3548A9">
            <w:pPr>
              <w:spacing w:before="120" w:after="120"/>
            </w:pPr>
            <w:r w:rsidRPr="00441372">
              <w:rPr>
                <w:b/>
              </w:rPr>
              <w:t>Description of content:</w:t>
            </w:r>
            <w:r w:rsidRPr="0065690F">
              <w:t xml:space="preserve"> The regulation on the import of guar gum originating in India is repealed. Since July 2007</w:t>
            </w:r>
            <w:r>
              <w:t>,</w:t>
            </w:r>
            <w:r w:rsidRPr="0065690F">
              <w:t xml:space="preserve"> in the </w:t>
            </w:r>
            <w:r>
              <w:t>European Union,</w:t>
            </w:r>
            <w:r w:rsidRPr="0065690F">
              <w:t xml:space="preserve"> high levels of pentachlorophenol (PCP) and dioxins were repeatedly found in batches of guar gum originating in or coming from India. Special provisions or the import of guar gum originating in or coming from India were introduced in the E</w:t>
            </w:r>
            <w:r>
              <w:t xml:space="preserve">uropean </w:t>
            </w:r>
            <w:r w:rsidRPr="0065690F">
              <w:t>U</w:t>
            </w:r>
            <w:r>
              <w:t>nion</w:t>
            </w:r>
            <w:r w:rsidRPr="0065690F">
              <w:t xml:space="preserve"> in 2008. In 2010, Switzerland adopted an ordinance on the import of guar gum originating in or coming from India, in line with the EU ordinance. This was done to ensure that only compliant guar gum enters Switzerland and that food safety is therefore guaranteed. Implementing Regulation (EU) 2019/1793 of 22 October 2019 on the temporary reinforcement of official controls and on emergency measures on the entry of certain goods from certain third countries into the Union for the implementation of Regulations (EU) 2017/625 and (EC) No 178/2002 of the European Parliament and of the Council, Implementing Regulation (EU) 2015/175 was repealed. The</w:t>
            </w:r>
            <w:r>
              <w:t> </w:t>
            </w:r>
            <w:r w:rsidRPr="0065690F">
              <w:t>new regulation regulates, among other things, the provisions for the import of guar gum from India and reviews them at regular intervals. Based on satisfactory controls, the</w:t>
            </w:r>
            <w:r>
              <w:t> </w:t>
            </w:r>
            <w:r w:rsidRPr="0065690F">
              <w:t>control of guar gum from India was suspended in the E</w:t>
            </w:r>
            <w:r>
              <w:t xml:space="preserve">uropean </w:t>
            </w:r>
            <w:r w:rsidRPr="0065690F">
              <w:t>U</w:t>
            </w:r>
            <w:r>
              <w:t>nion</w:t>
            </w:r>
            <w:r w:rsidRPr="0065690F">
              <w:t xml:space="preserve"> in 2024. As the controls in Switzerland were also satisfactory, there is no longer any justification for continuing these controls. The Ordinance on the import of guar gum originating in or coming from India should therefore be repealed.</w:t>
            </w:r>
          </w:p>
        </w:tc>
      </w:tr>
      <w:tr w14:paraId="3A21374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C205C5D"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10842F8F"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165C78C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752465B"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1A61E74E" w14:textId="77777777">
            <w:pPr>
              <w:spacing w:before="120" w:after="120"/>
            </w:pPr>
            <w:r w:rsidRPr="00441372">
              <w:rPr>
                <w:b/>
              </w:rPr>
              <w:t>Is there a relevant international standard? If so, identify the standard:</w:t>
            </w:r>
          </w:p>
          <w:p w:rsidR="00EA4725" w:rsidRPr="00441372" w:rsidP="00441372" w14:paraId="38F3516F"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6987EEB5"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E43A96" w14:paraId="1EDD785D" w14:textId="77777777">
            <w:pPr>
              <w:spacing w:before="240"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315F3CC3" w14:textId="77777777">
            <w:pPr>
              <w:spacing w:after="120"/>
              <w:ind w:left="720" w:hanging="720"/>
              <w:rPr>
                <w:b/>
              </w:rPr>
            </w:pPr>
            <w:r w:rsidRPr="00441372">
              <w:rPr>
                <w:b/>
              </w:rPr>
              <w:t>[X]</w:t>
            </w:r>
            <w:r w:rsidRPr="00441372">
              <w:rPr>
                <w:b/>
              </w:rPr>
              <w:tab/>
              <w:t>None</w:t>
            </w:r>
          </w:p>
          <w:p w:rsidR="00EA4725" w:rsidRPr="00441372" w:rsidP="00441372" w14:paraId="2DAAC86D" w14:textId="77777777">
            <w:pPr>
              <w:spacing w:after="120"/>
              <w:rPr>
                <w:b/>
              </w:rPr>
            </w:pPr>
            <w:r w:rsidRPr="00441372">
              <w:rPr>
                <w:b/>
              </w:rPr>
              <w:t xml:space="preserve">Does this proposed regulation conform to the relevant international standard? </w:t>
            </w:r>
          </w:p>
          <w:p w:rsidR="00EA4725" w:rsidRPr="00441372" w:rsidP="00441372" w14:paraId="0BD7D14C" w14:textId="77777777">
            <w:pPr>
              <w:spacing w:after="120"/>
              <w:rPr>
                <w:b/>
              </w:rPr>
            </w:pPr>
            <w:r w:rsidRPr="00441372">
              <w:rPr>
                <w:b/>
              </w:rPr>
              <w:t>[ ] Yes   [ ] No</w:t>
            </w:r>
          </w:p>
          <w:p w:rsidR="00EA4725" w:rsidRPr="00441372" w:rsidP="00441372" w14:paraId="7184FFF6" w14:textId="68567ACC">
            <w:pPr>
              <w:spacing w:after="120"/>
            </w:pPr>
            <w:r w:rsidRPr="00441372">
              <w:rPr>
                <w:b/>
              </w:rPr>
              <w:t>If no, describe, whenever possible, how and why it deviates from the international standard:</w:t>
            </w:r>
            <w:r w:rsidRPr="0065690F">
              <w:t xml:space="preserve"> </w:t>
            </w:r>
          </w:p>
        </w:tc>
      </w:tr>
      <w:tr w14:paraId="76CE957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492403C" w14:textId="77777777">
            <w:pPr>
              <w:spacing w:before="120" w:after="120"/>
              <w:jc w:val="left"/>
            </w:pPr>
            <w:r w:rsidRPr="00441372">
              <w:rPr>
                <w:b/>
              </w:rPr>
              <w:t>9.</w:t>
            </w:r>
          </w:p>
        </w:tc>
        <w:tc>
          <w:tcPr>
            <w:tcW w:w="8320" w:type="dxa"/>
            <w:tcBorders>
              <w:top w:val="single" w:sz="6" w:space="0" w:color="auto"/>
              <w:bottom w:val="single" w:sz="6" w:space="0" w:color="auto"/>
            </w:tcBorders>
          </w:tcPr>
          <w:p w:rsidR="009565F7" w:rsidRPr="0065690F" w:rsidP="00E86B9C" w14:paraId="7209A367" w14:textId="766A8312">
            <w:pPr>
              <w:spacing w:before="120" w:after="120"/>
            </w:pPr>
            <w:r w:rsidRPr="00441372">
              <w:rPr>
                <w:b/>
              </w:rPr>
              <w:t>Other relevant documents and language(s) in which these are available:</w:t>
            </w:r>
            <w:r w:rsidRPr="0065690F">
              <w:t xml:space="preserve"> </w:t>
            </w:r>
          </w:p>
        </w:tc>
      </w:tr>
      <w:tr w14:paraId="5675923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E48B132"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75C2C991" w14:textId="77777777">
            <w:pPr>
              <w:spacing w:before="120" w:after="120"/>
            </w:pPr>
            <w:r w:rsidRPr="00441372">
              <w:rPr>
                <w:b/>
              </w:rPr>
              <w:t xml:space="preserve">Proposed date of adoption </w:t>
            </w:r>
            <w:r w:rsidRPr="00441372">
              <w:rPr>
                <w:b/>
                <w:i/>
              </w:rPr>
              <w:t>(dd/mm/yy)</w:t>
            </w:r>
            <w:r w:rsidRPr="00441372">
              <w:rPr>
                <w:b/>
              </w:rPr>
              <w:t>:</w:t>
            </w:r>
            <w:r w:rsidRPr="0065690F">
              <w:t xml:space="preserve"> 27 August 2025</w:t>
            </w:r>
          </w:p>
          <w:p w:rsidR="00EA4725" w:rsidRPr="00441372" w:rsidP="00441372" w14:paraId="4CBBAA00" w14:textId="77777777">
            <w:pPr>
              <w:spacing w:after="120"/>
            </w:pPr>
            <w:r w:rsidRPr="00441372">
              <w:rPr>
                <w:b/>
              </w:rPr>
              <w:t xml:space="preserve">Proposed date of publication </w:t>
            </w:r>
            <w:r w:rsidRPr="00441372">
              <w:rPr>
                <w:b/>
                <w:i/>
              </w:rPr>
              <w:t>(dd/mm/yy)</w:t>
            </w:r>
            <w:r w:rsidRPr="00441372">
              <w:rPr>
                <w:b/>
              </w:rPr>
              <w:t>:</w:t>
            </w:r>
            <w:r w:rsidRPr="0065690F">
              <w:t xml:space="preserve"> 27 August 2025</w:t>
            </w:r>
          </w:p>
        </w:tc>
      </w:tr>
      <w:tr w14:paraId="46033AD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7786954"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616DB1AD"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1 October 2025</w:t>
            </w:r>
          </w:p>
          <w:p w:rsidR="00EA4725" w:rsidRPr="00441372" w:rsidP="00441372" w14:paraId="484624EC" w14:textId="2EE2BC2F">
            <w:pPr>
              <w:spacing w:after="120"/>
              <w:ind w:left="607" w:hanging="607"/>
              <w:rPr>
                <w:b/>
              </w:rPr>
            </w:pPr>
            <w:r w:rsidRPr="00441372">
              <w:rPr>
                <w:b/>
              </w:rPr>
              <w:t>[X]</w:t>
            </w:r>
            <w:r w:rsidRPr="00441372">
              <w:rPr>
                <w:b/>
              </w:rPr>
              <w:tab/>
              <w:t>Trade facilitating measure</w:t>
            </w:r>
            <w:r w:rsidRPr="0065690F">
              <w:t xml:space="preserve"> Certification is no longer required</w:t>
            </w:r>
            <w:r>
              <w:t>.</w:t>
            </w:r>
          </w:p>
        </w:tc>
      </w:tr>
      <w:tr w14:paraId="11AC6BD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4F614EB" w14:textId="77777777">
            <w:pPr>
              <w:spacing w:before="120" w:after="120"/>
              <w:jc w:val="left"/>
            </w:pPr>
            <w:r w:rsidRPr="00441372">
              <w:rPr>
                <w:b/>
              </w:rPr>
              <w:t>12.</w:t>
            </w:r>
          </w:p>
        </w:tc>
        <w:tc>
          <w:tcPr>
            <w:tcW w:w="8320" w:type="dxa"/>
            <w:tcBorders>
              <w:top w:val="single" w:sz="6" w:space="0" w:color="auto"/>
              <w:bottom w:val="single" w:sz="6" w:space="0" w:color="auto"/>
            </w:tcBorders>
          </w:tcPr>
          <w:p w:rsidR="00E86B9C" w:rsidP="00BB25F6" w14:paraId="432AE3D6" w14:textId="31A7268E">
            <w:pPr>
              <w:spacing w:before="120" w:after="120"/>
            </w:pPr>
            <w:r w:rsidRPr="00441372">
              <w:rPr>
                <w:b/>
              </w:rPr>
              <w:t xml:space="preserve">Final date for comments: </w:t>
            </w:r>
            <w:r w:rsidRPr="00441372">
              <w:rPr>
                <w:b/>
              </w:rPr>
              <w:t>[ ]</w:t>
            </w:r>
            <w:r w:rsidRPr="00441372">
              <w:rPr>
                <w:b/>
              </w:rPr>
              <w:t xml:space="preserve">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w:t>
            </w:r>
            <w:r>
              <w:t>17 August 2025</w:t>
            </w:r>
          </w:p>
          <w:p w:rsidR="00EA4725" w:rsidP="00441372" w14:paraId="7BCE9C98" w14:textId="2461B107">
            <w:pPr>
              <w:spacing w:after="120"/>
            </w:pPr>
            <w:r w:rsidRPr="00441372">
              <w:rPr>
                <w:b/>
              </w:rPr>
              <w:t xml:space="preserve">Agency or authority designated to handle comments: [X] National Notification Authority, </w:t>
            </w:r>
            <w:r w:rsidRPr="00441372">
              <w:rPr>
                <w:b/>
              </w:rPr>
              <w:t>[ ]</w:t>
            </w:r>
            <w:r w:rsidRPr="00441372">
              <w:rPr>
                <w:b/>
              </w:rPr>
              <w:t xml:space="preserve"> National Enquiry Point. Address, fax number and e-mail address (if available) of other body:</w:t>
            </w:r>
            <w:r w:rsidRPr="0065690F">
              <w:t xml:space="preserve"> </w:t>
            </w:r>
          </w:p>
          <w:p w:rsidR="0072469D" w:rsidRPr="00441372" w:rsidP="0072469D" w14:paraId="407C2153" w14:textId="77777777">
            <w:pPr>
              <w:spacing w:before="120"/>
            </w:pPr>
            <w:r w:rsidRPr="0065690F">
              <w:t>State Secretariate for Economic Affairs SECO</w:t>
            </w:r>
          </w:p>
          <w:p w:rsidR="0072469D" w:rsidRPr="0065690F" w:rsidP="0072469D" w14:paraId="75173694" w14:textId="77777777">
            <w:r w:rsidRPr="0065690F">
              <w:t>Holzikofenweg 36, 3003 Bern</w:t>
            </w:r>
          </w:p>
          <w:p w:rsidR="0072469D" w:rsidRPr="0065690F" w:rsidP="0072469D" w14:paraId="1695CC45" w14:textId="77777777">
            <w:r w:rsidRPr="0065690F">
              <w:t>Switzerland</w:t>
            </w:r>
          </w:p>
          <w:p w:rsidR="0072469D" w:rsidRPr="00441372" w:rsidP="00441372" w14:paraId="4E1EE10C" w14:textId="12272AC6">
            <w:pPr>
              <w:spacing w:after="120"/>
            </w:pPr>
            <w:r w:rsidRPr="0065690F">
              <w:t xml:space="preserve">E-mail: </w:t>
            </w:r>
            <w:hyperlink r:id="rId6" w:history="1">
              <w:r w:rsidRPr="0065690F">
                <w:rPr>
                  <w:color w:val="0000FF"/>
                  <w:u w:val="single"/>
                </w:rPr>
                <w:t>sps@seco.admin.ch</w:t>
              </w:r>
            </w:hyperlink>
          </w:p>
        </w:tc>
      </w:tr>
      <w:tr w14:paraId="58C88F87" w14:textId="77777777" w:rsidTr="00F3021D">
        <w:tblPrEx>
          <w:tblW w:w="5000" w:type="pct"/>
          <w:tblLayout w:type="fixed"/>
          <w:tblLook w:val="0000"/>
        </w:tblPrEx>
        <w:tc>
          <w:tcPr>
            <w:tcW w:w="707" w:type="dxa"/>
            <w:tcBorders>
              <w:top w:val="single" w:sz="6" w:space="0" w:color="auto"/>
            </w:tcBorders>
          </w:tcPr>
          <w:p w:rsidR="00EA4725" w:rsidRPr="00441372" w:rsidP="00F3021D" w14:paraId="1EB0FE54"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0719A859" w14:textId="77777777">
            <w:pPr>
              <w:keepNext/>
              <w:keepLines/>
              <w:spacing w:before="120" w:after="120"/>
              <w:rPr>
                <w:b/>
              </w:rPr>
            </w:pPr>
            <w:r w:rsidRPr="00441372">
              <w:rPr>
                <w:b/>
              </w:rPr>
              <w:t>Text(s) available from: [X] National Notification Authority, [ ] National Enquiry Point. Address, fax number and e-mail address (if available) of other body:</w:t>
            </w:r>
            <w:r w:rsidRPr="0065690F">
              <w:rPr>
                <w:bCs/>
              </w:rPr>
              <w:t xml:space="preserve"> </w:t>
            </w:r>
          </w:p>
          <w:p w:rsidR="00EA4725" w:rsidRPr="0065690F" w:rsidP="00F3021D" w14:paraId="7E5C0AE9" w14:textId="77777777">
            <w:pPr>
              <w:keepNext/>
              <w:keepLines/>
              <w:rPr>
                <w:bCs/>
              </w:rPr>
            </w:pPr>
            <w:r w:rsidRPr="0065690F">
              <w:rPr>
                <w:bCs/>
              </w:rPr>
              <w:t>State Secretariate for Economic Affairs SECO</w:t>
            </w:r>
          </w:p>
          <w:p w:rsidR="00EA4725" w:rsidRPr="0065690F" w:rsidP="00F3021D" w14:paraId="2C1B8FC5" w14:textId="77777777">
            <w:pPr>
              <w:keepNext/>
              <w:keepLines/>
              <w:rPr>
                <w:bCs/>
              </w:rPr>
            </w:pPr>
            <w:r w:rsidRPr="0065690F">
              <w:rPr>
                <w:bCs/>
              </w:rPr>
              <w:t>Holzikofenweg 36, 3003 Bern</w:t>
            </w:r>
          </w:p>
          <w:p w:rsidR="00EA4725" w:rsidRPr="0065690F" w:rsidP="00F3021D" w14:paraId="38674D9C" w14:textId="77777777">
            <w:pPr>
              <w:keepNext/>
              <w:keepLines/>
              <w:rPr>
                <w:bCs/>
              </w:rPr>
            </w:pPr>
            <w:r w:rsidRPr="0065690F">
              <w:rPr>
                <w:bCs/>
              </w:rPr>
              <w:t>Switzerland</w:t>
            </w:r>
          </w:p>
          <w:p w:rsidR="00EA4725" w:rsidRPr="0065690F" w:rsidP="00F3021D" w14:paraId="6E1939BA" w14:textId="77777777">
            <w:pPr>
              <w:keepNext/>
              <w:keepLines/>
              <w:spacing w:after="120"/>
              <w:rPr>
                <w:bCs/>
              </w:rPr>
            </w:pPr>
            <w:r w:rsidRPr="0065690F">
              <w:rPr>
                <w:bCs/>
              </w:rPr>
              <w:t xml:space="preserve">E-mail: </w:t>
            </w:r>
            <w:hyperlink r:id="rId6" w:history="1">
              <w:r w:rsidRPr="0065690F">
                <w:rPr>
                  <w:bCs/>
                  <w:color w:val="0000FF"/>
                  <w:u w:val="single"/>
                </w:rPr>
                <w:t>sps@seco.admin.ch</w:t>
              </w:r>
            </w:hyperlink>
          </w:p>
        </w:tc>
      </w:tr>
    </w:tbl>
    <w:p w:rsidR="007141CF" w:rsidRPr="00441372" w:rsidP="00441372" w14:paraId="21370ABB" w14:textId="77777777"/>
    <w:sectPr w:rsidSect="0072469D">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2469D" w:rsidP="0072469D" w14:paraId="4987E0BB" w14:textId="2FC25C4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2469D" w:rsidP="0072469D" w14:paraId="37125642" w14:textId="5BCECD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10DF0AF"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69D" w:rsidRPr="0072469D" w:rsidP="0072469D" w14:paraId="635ACD10" w14:textId="77777777">
    <w:pPr>
      <w:pStyle w:val="Header"/>
      <w:pBdr>
        <w:bottom w:val="single" w:sz="4" w:space="1" w:color="auto"/>
      </w:pBdr>
      <w:tabs>
        <w:tab w:val="clear" w:pos="4513"/>
        <w:tab w:val="clear" w:pos="9027"/>
      </w:tabs>
      <w:jc w:val="center"/>
    </w:pPr>
    <w:r w:rsidRPr="0072469D">
      <w:t>G/SPS/N/CHE/100</w:t>
    </w:r>
  </w:p>
  <w:p w:rsidR="0072469D" w:rsidRPr="0072469D" w:rsidP="0072469D" w14:paraId="345411D2" w14:textId="77777777">
    <w:pPr>
      <w:pStyle w:val="Header"/>
      <w:pBdr>
        <w:bottom w:val="single" w:sz="4" w:space="1" w:color="auto"/>
      </w:pBdr>
      <w:tabs>
        <w:tab w:val="clear" w:pos="4513"/>
        <w:tab w:val="clear" w:pos="9027"/>
      </w:tabs>
      <w:jc w:val="center"/>
    </w:pPr>
  </w:p>
  <w:p w:rsidR="0072469D" w:rsidRPr="0072469D" w:rsidP="0072469D" w14:paraId="78E37771" w14:textId="2D79CA56">
    <w:pPr>
      <w:pStyle w:val="Header"/>
      <w:pBdr>
        <w:bottom w:val="single" w:sz="4" w:space="1" w:color="auto"/>
      </w:pBdr>
      <w:tabs>
        <w:tab w:val="clear" w:pos="4513"/>
        <w:tab w:val="clear" w:pos="9027"/>
      </w:tabs>
      <w:jc w:val="center"/>
    </w:pPr>
    <w:r w:rsidRPr="0072469D">
      <w:t xml:space="preserve">- </w:t>
    </w:r>
    <w:r w:rsidRPr="0072469D">
      <w:fldChar w:fldCharType="begin"/>
    </w:r>
    <w:r w:rsidRPr="0072469D">
      <w:instrText xml:space="preserve"> PAGE </w:instrText>
    </w:r>
    <w:r w:rsidRPr="0072469D">
      <w:fldChar w:fldCharType="separate"/>
    </w:r>
    <w:r w:rsidRPr="0072469D">
      <w:t>2</w:t>
    </w:r>
    <w:r w:rsidRPr="0072469D">
      <w:fldChar w:fldCharType="end"/>
    </w:r>
    <w:r w:rsidRPr="0072469D">
      <w:t xml:space="preserve"> -</w:t>
    </w:r>
  </w:p>
  <w:p w:rsidR="00EA4725" w:rsidRPr="0072469D" w:rsidP="0072469D" w14:paraId="30113D33" w14:textId="64890D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69D" w:rsidRPr="0072469D" w:rsidP="0072469D" w14:paraId="7B9DAF9A" w14:textId="77777777">
    <w:pPr>
      <w:pStyle w:val="Header"/>
      <w:pBdr>
        <w:bottom w:val="single" w:sz="4" w:space="1" w:color="auto"/>
      </w:pBdr>
      <w:tabs>
        <w:tab w:val="clear" w:pos="4513"/>
        <w:tab w:val="clear" w:pos="9027"/>
      </w:tabs>
      <w:jc w:val="center"/>
    </w:pPr>
    <w:r w:rsidRPr="0072469D">
      <w:t>G/SPS/N/CHE/100</w:t>
    </w:r>
  </w:p>
  <w:p w:rsidR="0072469D" w:rsidRPr="0072469D" w:rsidP="0072469D" w14:paraId="5A4A0405" w14:textId="77777777">
    <w:pPr>
      <w:pStyle w:val="Header"/>
      <w:pBdr>
        <w:bottom w:val="single" w:sz="4" w:space="1" w:color="auto"/>
      </w:pBdr>
      <w:tabs>
        <w:tab w:val="clear" w:pos="4513"/>
        <w:tab w:val="clear" w:pos="9027"/>
      </w:tabs>
      <w:jc w:val="center"/>
    </w:pPr>
  </w:p>
  <w:p w:rsidR="0072469D" w:rsidRPr="0072469D" w:rsidP="0072469D" w14:paraId="2E5DC87E" w14:textId="6B669AB5">
    <w:pPr>
      <w:pStyle w:val="Header"/>
      <w:pBdr>
        <w:bottom w:val="single" w:sz="4" w:space="1" w:color="auto"/>
      </w:pBdr>
      <w:tabs>
        <w:tab w:val="clear" w:pos="4513"/>
        <w:tab w:val="clear" w:pos="9027"/>
      </w:tabs>
      <w:jc w:val="center"/>
    </w:pPr>
    <w:r w:rsidRPr="0072469D">
      <w:t xml:space="preserve">- </w:t>
    </w:r>
    <w:r w:rsidRPr="0072469D">
      <w:fldChar w:fldCharType="begin"/>
    </w:r>
    <w:r w:rsidRPr="0072469D">
      <w:instrText xml:space="preserve"> PAGE </w:instrText>
    </w:r>
    <w:r w:rsidRPr="0072469D">
      <w:fldChar w:fldCharType="separate"/>
    </w:r>
    <w:r w:rsidRPr="0072469D">
      <w:rPr>
        <w:noProof/>
      </w:rPr>
      <w:t>2</w:t>
    </w:r>
    <w:r w:rsidRPr="0072469D">
      <w:fldChar w:fldCharType="end"/>
    </w:r>
    <w:r w:rsidRPr="0072469D">
      <w:t xml:space="preserve"> -</w:t>
    </w:r>
  </w:p>
  <w:p w:rsidR="00EA4725" w:rsidRPr="0072469D" w:rsidP="0072469D" w14:paraId="25B1620D" w14:textId="4E5BAF3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FEEF03A"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3FEAFA6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34962AA6" w14:textId="7F888C5F">
          <w:pPr>
            <w:jc w:val="right"/>
            <w:rPr>
              <w:b/>
              <w:color w:val="FF0000"/>
              <w:szCs w:val="16"/>
            </w:rPr>
          </w:pPr>
          <w:r>
            <w:rPr>
              <w:b/>
              <w:color w:val="FF0000"/>
              <w:szCs w:val="16"/>
            </w:rPr>
            <w:t xml:space="preserve"> </w:t>
          </w:r>
        </w:p>
      </w:tc>
    </w:tr>
    <w:bookmarkEnd w:id="0"/>
    <w:tr w14:paraId="0CF11FF5"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0C82DDAE"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137F1263" w14:textId="77777777">
          <w:pPr>
            <w:jc w:val="right"/>
            <w:rPr>
              <w:b/>
              <w:szCs w:val="16"/>
            </w:rPr>
          </w:pPr>
        </w:p>
      </w:tc>
    </w:tr>
    <w:tr w14:paraId="41842393"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963B221" w14:textId="77777777">
          <w:pPr>
            <w:jc w:val="left"/>
            <w:rPr>
              <w:noProof/>
              <w:lang w:eastAsia="en-GB"/>
            </w:rPr>
          </w:pPr>
        </w:p>
      </w:tc>
      <w:tc>
        <w:tcPr>
          <w:tcW w:w="5448" w:type="dxa"/>
          <w:gridSpan w:val="2"/>
          <w:shd w:val="clear" w:color="auto" w:fill="FFFFFF"/>
          <w:tcMar>
            <w:left w:w="108" w:type="dxa"/>
            <w:right w:w="108" w:type="dxa"/>
          </w:tcMar>
        </w:tcPr>
        <w:p w:rsidR="0072469D" w:rsidP="00656ABC" w14:paraId="3E04AE1F" w14:textId="77777777">
          <w:pPr>
            <w:jc w:val="right"/>
            <w:rPr>
              <w:b/>
              <w:szCs w:val="16"/>
            </w:rPr>
          </w:pPr>
          <w:bookmarkStart w:id="1" w:name="bmkSymbols"/>
          <w:r>
            <w:rPr>
              <w:b/>
              <w:szCs w:val="16"/>
            </w:rPr>
            <w:t>G/SPS/N/CHE/100</w:t>
          </w:r>
        </w:p>
        <w:bookmarkEnd w:id="1"/>
        <w:p w:rsidR="00656ABC" w:rsidRPr="00EA4725" w:rsidP="00656ABC" w14:paraId="66FE36AB" w14:textId="5D4F15D0">
          <w:pPr>
            <w:jc w:val="right"/>
            <w:rPr>
              <w:b/>
              <w:szCs w:val="16"/>
            </w:rPr>
          </w:pPr>
        </w:p>
      </w:tc>
    </w:tr>
    <w:tr w14:paraId="177072D6"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55595FF" w14:textId="77777777"/>
      </w:tc>
      <w:tc>
        <w:tcPr>
          <w:tcW w:w="5448" w:type="dxa"/>
          <w:gridSpan w:val="2"/>
          <w:shd w:val="clear" w:color="auto" w:fill="FFFFFF"/>
          <w:tcMar>
            <w:left w:w="108" w:type="dxa"/>
            <w:right w:w="108" w:type="dxa"/>
          </w:tcMar>
          <w:vAlign w:val="center"/>
        </w:tcPr>
        <w:p w:rsidR="00ED54E0" w:rsidRPr="00EA4725" w:rsidP="00422B6F" w14:paraId="3F681813" w14:textId="77777777">
          <w:pPr>
            <w:jc w:val="right"/>
            <w:rPr>
              <w:szCs w:val="16"/>
            </w:rPr>
          </w:pPr>
          <w:bookmarkStart w:id="2" w:name="spsDateDistribution"/>
          <w:bookmarkStart w:id="3" w:name="bmkDate"/>
          <w:bookmarkEnd w:id="2"/>
          <w:r w:rsidRPr="00EA4725">
            <w:rPr>
              <w:szCs w:val="16"/>
            </w:rPr>
            <w:t>17 July 2025</w:t>
          </w:r>
          <w:bookmarkEnd w:id="3"/>
        </w:p>
      </w:tc>
    </w:tr>
    <w:tr w14:paraId="658F9735"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4FF23EBA" w14:textId="77777777">
          <w:pPr>
            <w:jc w:val="left"/>
            <w:rPr>
              <w:b/>
            </w:rPr>
          </w:pPr>
          <w:bookmarkStart w:id="4" w:name="bmkSerial"/>
          <w:r>
            <w:rPr>
              <w:b w:val="0"/>
              <w:color w:val="FF0000"/>
            </w:rPr>
            <w:t>(25-4589)</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1B5D4E3F"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15FEE57C"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50A8C1AA" w14:textId="0F853E4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751A88CC" w14:textId="69A37D70">
          <w:pPr>
            <w:jc w:val="right"/>
            <w:rPr>
              <w:bCs/>
              <w:szCs w:val="18"/>
            </w:rPr>
          </w:pPr>
          <w:bookmarkStart w:id="7" w:name="bmkLanguage"/>
          <w:r>
            <w:rPr>
              <w:bCs/>
              <w:szCs w:val="18"/>
            </w:rPr>
            <w:t>Original: English</w:t>
          </w:r>
          <w:bookmarkEnd w:id="7"/>
        </w:p>
      </w:tc>
    </w:tr>
  </w:tbl>
  <w:p w:rsidR="00ED54E0" w:rsidRPr="00441372" w14:paraId="6EB684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0874321">
    <w:abstractNumId w:val="9"/>
  </w:num>
  <w:num w:numId="2" w16cid:durableId="274675257">
    <w:abstractNumId w:val="7"/>
  </w:num>
  <w:num w:numId="3" w16cid:durableId="1043095668">
    <w:abstractNumId w:val="6"/>
  </w:num>
  <w:num w:numId="4" w16cid:durableId="1024134297">
    <w:abstractNumId w:val="5"/>
  </w:num>
  <w:num w:numId="5" w16cid:durableId="164365894">
    <w:abstractNumId w:val="4"/>
  </w:num>
  <w:num w:numId="6" w16cid:durableId="764694653">
    <w:abstractNumId w:val="12"/>
  </w:num>
  <w:num w:numId="7" w16cid:durableId="171991782">
    <w:abstractNumId w:val="11"/>
  </w:num>
  <w:num w:numId="8" w16cid:durableId="2006394191">
    <w:abstractNumId w:val="10"/>
  </w:num>
  <w:num w:numId="9" w16cid:durableId="1047140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560626">
    <w:abstractNumId w:val="13"/>
  </w:num>
  <w:num w:numId="11" w16cid:durableId="941761832">
    <w:abstractNumId w:val="8"/>
  </w:num>
  <w:num w:numId="12" w16cid:durableId="971519804">
    <w:abstractNumId w:val="3"/>
  </w:num>
  <w:num w:numId="13" w16cid:durableId="1604071839">
    <w:abstractNumId w:val="2"/>
  </w:num>
  <w:num w:numId="14" w16cid:durableId="1261908335">
    <w:abstractNumId w:val="1"/>
  </w:num>
  <w:num w:numId="15" w16cid:durableId="115352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469D"/>
    <w:rsid w:val="007333DF"/>
    <w:rsid w:val="00744D6F"/>
    <w:rsid w:val="00745146"/>
    <w:rsid w:val="007577E3"/>
    <w:rsid w:val="00760DB3"/>
    <w:rsid w:val="00785406"/>
    <w:rsid w:val="007B5A4F"/>
    <w:rsid w:val="007B624B"/>
    <w:rsid w:val="007B635B"/>
    <w:rsid w:val="007D67B7"/>
    <w:rsid w:val="007E510C"/>
    <w:rsid w:val="007E6507"/>
    <w:rsid w:val="007F2B8E"/>
    <w:rsid w:val="00807247"/>
    <w:rsid w:val="00821CFF"/>
    <w:rsid w:val="008363D8"/>
    <w:rsid w:val="00840C2B"/>
    <w:rsid w:val="00841153"/>
    <w:rsid w:val="008474E2"/>
    <w:rsid w:val="008730E9"/>
    <w:rsid w:val="008739FD"/>
    <w:rsid w:val="00893E85"/>
    <w:rsid w:val="008E372C"/>
    <w:rsid w:val="00903AB0"/>
    <w:rsid w:val="009565F7"/>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B25F6"/>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3A96"/>
    <w:rsid w:val="00E46FD5"/>
    <w:rsid w:val="00E544BB"/>
    <w:rsid w:val="00E56545"/>
    <w:rsid w:val="00E64A48"/>
    <w:rsid w:val="00E86B9C"/>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C57D03"/>
  <w15:docId w15:val="{DB5DC850-65CE-4AC9-A1A6-431F4DE5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72469D"/>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CHE/25_04653_00_f.pdf" TargetMode="External" /><Relationship Id="rId6" Type="http://schemas.openxmlformats.org/officeDocument/2006/relationships/hyperlink" Target="mailto:sps@seco.admin.ch"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A573-227B-482C-8B4D-CDD8C333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14</cp:revision>
  <dcterms:created xsi:type="dcterms:W3CDTF">2017-07-03T11:19:00Z</dcterms:created>
  <dcterms:modified xsi:type="dcterms:W3CDTF">2025-07-17T10:40:00Z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G/SPS/N/CHE/100</vt:lpwstr>
  </property>
</Properties>
</file>