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258DF04E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3AF0066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5148A27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6A8ECAE2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EUROPEAN UNION</w:t>
            </w:r>
          </w:p>
          <w:p w:rsidR="00EA4725" w:rsidRPr="00441372" w:rsidP="00441372" w14:paraId="030A3DC3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5E680E2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5328FD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FC4DD3C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European Commission, Health and Food Safety Directorate-General</w:t>
            </w:r>
          </w:p>
        </w:tc>
      </w:tr>
      <w:tr w14:paraId="6128BCB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8F2DED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8629B" w:rsidP="00441372" w14:paraId="74210026" w14:textId="77777777">
            <w:pPr>
              <w:spacing w:before="120"/>
            </w:pPr>
            <w:r w:rsidRPr="00441372">
              <w:rPr>
                <w:b/>
              </w:rPr>
              <w:t xml:space="preserve">Products covered (provide tariff item number(s) as </w:t>
            </w:r>
            <w:r w:rsidRPr="00441372">
              <w:rPr>
                <w:b/>
              </w:rPr>
              <w:t>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:rsidR="00EA4725" w:rsidRPr="00441372" w:rsidP="00D8629B" w14:paraId="785B58DB" w14:textId="4B9D7F14">
            <w:pPr>
              <w:numPr>
                <w:ilvl w:val="0"/>
                <w:numId w:val="16"/>
              </w:numPr>
              <w:spacing w:before="120"/>
              <w:ind w:left="357" w:hanging="357"/>
            </w:pPr>
            <w:r w:rsidRPr="0065690F">
              <w:t xml:space="preserve">Plants for planting, that have a stem or root collar diameter of 1 cm or more at their thickest point, </w:t>
            </w:r>
            <w:r w:rsidRPr="0065690F">
              <w:rPr>
                <w:i/>
                <w:iCs/>
              </w:rPr>
              <w:t>Acer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 xml:space="preserve">Aesculus 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 xml:space="preserve">Betula 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>Fraxinus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 xml:space="preserve">Populus 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 xml:space="preserve">Salix </w:t>
            </w:r>
            <w:r w:rsidRPr="0065690F">
              <w:t xml:space="preserve">spp. and </w:t>
            </w:r>
            <w:r w:rsidRPr="0065690F">
              <w:rPr>
                <w:i/>
                <w:iCs/>
              </w:rPr>
              <w:t>Ulmus</w:t>
            </w:r>
            <w:r w:rsidRPr="0065690F">
              <w:t xml:space="preserve"> spp. for </w:t>
            </w:r>
            <w:r w:rsidRPr="0065690F">
              <w:rPr>
                <w:i/>
                <w:iCs/>
              </w:rPr>
              <w:t>Anoplophora glabripennis</w:t>
            </w:r>
            <w:r w:rsidRPr="0065690F">
              <w:t xml:space="preserve"> (Motschulsky) - (HS</w:t>
            </w:r>
            <w:r>
              <w:t> </w:t>
            </w:r>
            <w:r w:rsidRPr="0065690F">
              <w:t>Chapters: 06 (live plants)</w:t>
            </w:r>
          </w:p>
          <w:p w:rsidR="0015021E" w:rsidRPr="0065690F" w:rsidP="00D8629B" w14:paraId="636CD4B3" w14:textId="2CD15297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 xml:space="preserve">Plants for planting, that have a stem or root collar diameter of 1 cm or more at their thickest point, wood and wood packaging material of </w:t>
            </w:r>
            <w:r w:rsidRPr="0065690F">
              <w:rPr>
                <w:i/>
                <w:iCs/>
              </w:rPr>
              <w:t xml:space="preserve">Acer 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>Aesculus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Alnus</w:t>
            </w:r>
            <w:r>
              <w:t> 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>Betula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Carpinus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Chaenomeles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Citrus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Cornus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Corylus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Cotoneaster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Crataegus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Cryptomeria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Fagus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Ficus</w:t>
            </w:r>
            <w:r>
              <w:t> 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>Hibiscus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Lagerstroemia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Malus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Melia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Morus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 xml:space="preserve">Ostrya 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>Parrotia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Photinia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 xml:space="preserve">Platanus 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>Populus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Prunus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laurocerasus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 xml:space="preserve">Pyrus </w:t>
            </w:r>
            <w:r w:rsidRPr="0065690F">
              <w:t xml:space="preserve">spp., </w:t>
            </w:r>
            <w:r w:rsidRPr="0065690F">
              <w:rPr>
                <w:i/>
                <w:iCs/>
              </w:rPr>
              <w:t>Rosa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Salix</w:t>
            </w:r>
            <w:r w:rsidRPr="0065690F">
              <w:t xml:space="preserve"> spp., </w:t>
            </w:r>
            <w:r w:rsidRPr="0065690F">
              <w:rPr>
                <w:i/>
                <w:iCs/>
              </w:rPr>
              <w:t>Ulmus</w:t>
            </w:r>
            <w:r w:rsidRPr="0065690F">
              <w:t xml:space="preserve"> spp. and </w:t>
            </w:r>
            <w:r w:rsidRPr="0065690F">
              <w:rPr>
                <w:i/>
                <w:iCs/>
              </w:rPr>
              <w:t>Vaccinium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corym</w:t>
            </w:r>
            <w:r w:rsidRPr="0065690F">
              <w:t xml:space="preserve">bosum for </w:t>
            </w:r>
            <w:r w:rsidRPr="0065690F">
              <w:rPr>
                <w:i/>
                <w:iCs/>
              </w:rPr>
              <w:t>Anoplophora chinensis</w:t>
            </w:r>
            <w:r w:rsidRPr="0065690F">
              <w:t xml:space="preserve"> (Forster) - (HS Chapters: 06 (live plants), 44 (wood products and articles of wood)</w:t>
            </w:r>
          </w:p>
        </w:tc>
      </w:tr>
      <w:tr w14:paraId="64326FA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2DC31E2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472ABE8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3E39A00C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43BDD21D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770D95A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DF1968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828C2D6" w14:textId="77777777">
            <w:pPr>
              <w:spacing w:before="120" w:after="120"/>
            </w:pPr>
            <w:r w:rsidRPr="00441372">
              <w:rPr>
                <w:b/>
              </w:rPr>
              <w:t xml:space="preserve">Title of the notified </w:t>
            </w:r>
            <w:r w:rsidRPr="00441372">
              <w:rPr>
                <w:b/>
              </w:rPr>
              <w:t>document:</w:t>
            </w:r>
            <w:r w:rsidRPr="0065690F">
              <w:t xml:space="preserve"> </w:t>
            </w:r>
            <w:r w:rsidRPr="0065690F">
              <w:t xml:space="preserve">Commission Implementing Regulation (EU) on amending Annexes VII, VIII, XI and XIII to Implementing Regulation (EU) 2019/2072 as regards measures against the entry into, and the presence in the Union territory of </w:t>
            </w:r>
            <w:r w:rsidRPr="0065690F">
              <w:rPr>
                <w:i/>
                <w:iCs/>
              </w:rPr>
              <w:t>Anoplophora glabripennis</w:t>
            </w:r>
            <w:r w:rsidRPr="0065690F">
              <w:t xml:space="preserve"> (Motschulsky) and </w:t>
            </w:r>
            <w:r w:rsidRPr="0065690F">
              <w:rPr>
                <w:i/>
                <w:iCs/>
              </w:rPr>
              <w:t>Anoplophora chinensis</w:t>
            </w:r>
            <w:r w:rsidRPr="0065690F">
              <w:t xml:space="preserve"> (Forster)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5+13</w:t>
            </w:r>
          </w:p>
          <w:p w:rsidR="00EA4725" w:rsidRPr="00441372" w:rsidP="00D8629B" w14:paraId="0EC76715" w14:textId="77777777">
            <w:hyperlink r:id="rId4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https://members.wto.org/crnattachments/2025/SPS/EEC/25_02306_00_e.pdf</w:t>
              </w:r>
            </w:hyperlink>
          </w:p>
          <w:p w:rsidR="00EA4725" w:rsidRPr="00441372" w:rsidP="00441372" w14:paraId="12CA5438" w14:textId="77777777">
            <w:pPr>
              <w:spacing w:after="120"/>
            </w:pPr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https://members.wto.org/crnattachments/2025/SPS/EEC/25_02306_01_e.pdf</w:t>
              </w:r>
            </w:hyperlink>
          </w:p>
        </w:tc>
      </w:tr>
      <w:tr w14:paraId="02D1A61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F33E39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4AE03B8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 xml:space="preserve">The draft legal act amends the consolidates the EU measures regarding import and internal movement requirements for </w:t>
            </w:r>
            <w:r w:rsidRPr="0065690F">
              <w:rPr>
                <w:i/>
                <w:iCs/>
              </w:rPr>
              <w:t>Anoplophora glabripennis</w:t>
            </w:r>
            <w:r w:rsidRPr="0065690F">
              <w:t xml:space="preserve"> (Motschulsky) </w:t>
            </w:r>
            <w:r w:rsidRPr="0065690F">
              <w:rPr>
                <w:i/>
                <w:iCs/>
              </w:rPr>
              <w:t>Anoplophora chinensis</w:t>
            </w:r>
            <w:r w:rsidRPr="0065690F">
              <w:t xml:space="preserve"> (Forster) in the Annexes of Implementing Regulation (EU) 2019/2072. It amends the scope of host plants subject to measures and establishes the list of countries where the pests are present.</w:t>
            </w:r>
          </w:p>
        </w:tc>
      </w:tr>
      <w:tr w14:paraId="3A366A1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FDD06E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D5E0018" w14:textId="77777777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5AA2D34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D8629B" w14:paraId="5490D83C" w14:textId="77777777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D8629B" w14:paraId="53C45481" w14:textId="77777777">
            <w:pPr>
              <w:keepNext/>
              <w:spacing w:before="120" w:after="120"/>
            </w:pPr>
            <w:r w:rsidRPr="00441372">
              <w:rPr>
                <w:b/>
              </w:rPr>
              <w:t xml:space="preserve">Is there a relevant </w:t>
            </w:r>
            <w:r w:rsidRPr="00441372">
              <w:rPr>
                <w:b/>
              </w:rPr>
              <w:t>international standard? If so, identify the standard:</w:t>
            </w:r>
          </w:p>
          <w:p w:rsidR="00EA4725" w:rsidRPr="00441372" w:rsidP="00D8629B" w14:paraId="2DEAC97B" w14:textId="77777777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D8629B" w14:paraId="23404DC0" w14:textId="7777777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D8629B" w:rsidP="00D8629B" w14:paraId="21592BFC" w14:textId="77777777">
            <w:pPr>
              <w:keepNext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D8629B" w14:paraId="74F37EF6" w14:textId="0C4A8190">
            <w:pPr>
              <w:keepNext/>
              <w:numPr>
                <w:ilvl w:val="0"/>
                <w:numId w:val="17"/>
              </w:numPr>
              <w:ind w:left="1072"/>
              <w:rPr>
                <w:b/>
              </w:rPr>
            </w:pPr>
            <w:r w:rsidRPr="0065690F">
              <w:t>ISPM No.4: "Requirements for the establishment of pest free areas"</w:t>
            </w:r>
          </w:p>
          <w:p w:rsidR="0015021E" w:rsidRPr="0065690F" w:rsidP="00D8629B" w14:paraId="3C5A96C2" w14:textId="2BD0DB9D">
            <w:pPr>
              <w:keepNext/>
              <w:numPr>
                <w:ilvl w:val="0"/>
                <w:numId w:val="17"/>
              </w:numPr>
              <w:ind w:left="1072"/>
            </w:pPr>
            <w:r w:rsidRPr="0065690F">
              <w:t xml:space="preserve">ISPM No. 10: "Requirements for the establishment of pest free places of production and pest free </w:t>
            </w:r>
            <w:r w:rsidRPr="0065690F">
              <w:t>production sites"</w:t>
            </w:r>
          </w:p>
          <w:p w:rsidR="0015021E" w:rsidRPr="0065690F" w:rsidP="00D8629B" w14:paraId="7A565FD3" w14:textId="0685DC79">
            <w:pPr>
              <w:keepNext/>
              <w:numPr>
                <w:ilvl w:val="0"/>
                <w:numId w:val="17"/>
              </w:numPr>
              <w:ind w:left="1072"/>
            </w:pPr>
            <w:r w:rsidRPr="0065690F">
              <w:t>ISPM No. 11: "Pest risk analysis for quarantine pests"</w:t>
            </w:r>
          </w:p>
          <w:p w:rsidR="0015021E" w:rsidRPr="0065690F" w:rsidP="00D8629B" w14:paraId="5EA70934" w14:textId="5867B78B">
            <w:pPr>
              <w:keepNext/>
              <w:numPr>
                <w:ilvl w:val="0"/>
                <w:numId w:val="17"/>
              </w:numPr>
              <w:spacing w:after="120"/>
              <w:ind w:left="1072"/>
            </w:pPr>
            <w:r w:rsidRPr="0065690F">
              <w:t>ISPM No. 31: "Methodologies for sampling of consignments"</w:t>
            </w:r>
          </w:p>
          <w:p w:rsidR="00EA4725" w:rsidRPr="00441372" w:rsidP="00D8629B" w14:paraId="4918EAEE" w14:textId="7777777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D8629B" w14:paraId="5BF97A89" w14:textId="77777777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D8629B" w14:paraId="0CDEBDF4" w14:textId="77777777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:rsidR="00EA4725" w:rsidRPr="00441372" w:rsidP="00D8629B" w14:paraId="5829E77F" w14:textId="77777777">
            <w:pPr>
              <w:keepNext/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58BCE7C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38FD9A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5021E" w:rsidRPr="0065690F" w:rsidP="00D8629B" w14:paraId="0A96DD85" w14:textId="799CC675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t xml:space="preserve">Regulation (EU) 2016/2031 on protective measures against pests of plants: </w:t>
            </w:r>
            <w:hyperlink r:id="rId6" w:history="1">
              <w:r w:rsidRPr="0065690F" w:rsidR="00EA4725">
                <w:rPr>
                  <w:color w:val="0000FF"/>
                  <w:u w:val="single"/>
                </w:rPr>
                <w:t>https://eur-lex.europa.eu/legal-content/EN/TXT/PDF/?uri=CELEX:32016R2031&amp;qid=1742299423644</w:t>
              </w:r>
            </w:hyperlink>
          </w:p>
        </w:tc>
      </w:tr>
      <w:tr w14:paraId="52C604A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215449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4F539A2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June 2025</w:t>
            </w:r>
          </w:p>
          <w:p w:rsidR="00EA4725" w:rsidRPr="00441372" w:rsidP="00441372" w14:paraId="2EB0E175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June 2025</w:t>
            </w:r>
          </w:p>
        </w:tc>
      </w:tr>
      <w:tr w14:paraId="0A04CE2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1ADF2A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943DFE4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This Regulation shall enter into force on the twentieth day following its publication in the Official Journal of the European Union.</w:t>
            </w:r>
          </w:p>
          <w:p w:rsidR="00EA4725" w:rsidRPr="00441372" w:rsidP="00441372" w14:paraId="1BF11023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173F81F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5668EC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A8060D9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[X] </w:t>
            </w:r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18 May 2025</w:t>
            </w:r>
          </w:p>
          <w:p w:rsidR="00EA4725" w:rsidRPr="00441372" w:rsidP="00441372" w14:paraId="2A106F14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15021E" w:rsidRPr="0065690F" w:rsidP="00441372" w14:paraId="53820AB0" w14:textId="77777777">
            <w:r w:rsidRPr="0065690F">
              <w:t>European Commission</w:t>
            </w:r>
          </w:p>
          <w:p w:rsidR="0015021E" w:rsidRPr="0065690F" w:rsidP="00441372" w14:paraId="3EE0D329" w14:textId="77777777">
            <w:r w:rsidRPr="0065690F">
              <w:t>DG Health and Food Safety, Unit A4-Multilateral International Relations</w:t>
            </w:r>
          </w:p>
          <w:p w:rsidR="0015021E" w:rsidRPr="00D8629B" w:rsidP="00441372" w14:paraId="5211A1D6" w14:textId="77777777">
            <w:pPr>
              <w:rPr>
                <w:lang w:val="fr-CH"/>
              </w:rPr>
            </w:pPr>
            <w:r w:rsidRPr="00D8629B">
              <w:rPr>
                <w:lang w:val="fr-CH"/>
              </w:rPr>
              <w:t>Rue Froissart 101</w:t>
            </w:r>
          </w:p>
          <w:p w:rsidR="0015021E" w:rsidRPr="00D8629B" w:rsidP="00441372" w14:paraId="097A75B3" w14:textId="77777777">
            <w:pPr>
              <w:rPr>
                <w:lang w:val="fr-CH"/>
              </w:rPr>
            </w:pPr>
            <w:r w:rsidRPr="00D8629B">
              <w:rPr>
                <w:lang w:val="fr-CH"/>
              </w:rPr>
              <w:t>B-1049 Brussels</w:t>
            </w:r>
          </w:p>
          <w:p w:rsidR="0015021E" w:rsidRPr="00D8629B" w:rsidP="00441372" w14:paraId="3A01F72B" w14:textId="77777777">
            <w:pPr>
              <w:rPr>
                <w:lang w:val="fr-CH"/>
              </w:rPr>
            </w:pPr>
            <w:r w:rsidRPr="00D8629B">
              <w:rPr>
                <w:lang w:val="fr-CH"/>
              </w:rPr>
              <w:t>Tel: +(32 2) 29 54263</w:t>
            </w:r>
          </w:p>
          <w:p w:rsidR="0015021E" w:rsidRPr="0065690F" w:rsidP="00441372" w14:paraId="78740DBA" w14:textId="77777777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</w:p>
        </w:tc>
      </w:tr>
      <w:tr w14:paraId="47CD55D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7A6ADCFD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70ACCF71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309F13DE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:rsidR="00EA4725" w:rsidRPr="0065690F" w:rsidP="00F3021D" w14:paraId="61CA0230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:rsidR="00EA4725" w:rsidRPr="00D8629B" w:rsidP="00F3021D" w14:paraId="1DC2E3C6" w14:textId="77777777">
            <w:pPr>
              <w:keepNext/>
              <w:keepLines/>
              <w:rPr>
                <w:bCs/>
                <w:lang w:val="fr-CH"/>
              </w:rPr>
            </w:pPr>
            <w:r w:rsidRPr="00D8629B">
              <w:rPr>
                <w:bCs/>
                <w:lang w:val="fr-CH"/>
              </w:rPr>
              <w:t>Rue Froissart 101</w:t>
            </w:r>
          </w:p>
          <w:p w:rsidR="00EA4725" w:rsidRPr="00D8629B" w:rsidP="00F3021D" w14:paraId="58A8F1D4" w14:textId="77777777">
            <w:pPr>
              <w:keepNext/>
              <w:keepLines/>
              <w:rPr>
                <w:bCs/>
                <w:lang w:val="fr-CH"/>
              </w:rPr>
            </w:pPr>
            <w:r w:rsidRPr="00D8629B">
              <w:rPr>
                <w:bCs/>
                <w:lang w:val="fr-CH"/>
              </w:rPr>
              <w:t>B-1049 Brussels</w:t>
            </w:r>
          </w:p>
          <w:p w:rsidR="00EA4725" w:rsidRPr="00D8629B" w:rsidP="00F3021D" w14:paraId="6452361E" w14:textId="77777777">
            <w:pPr>
              <w:keepNext/>
              <w:keepLines/>
              <w:rPr>
                <w:bCs/>
                <w:lang w:val="fr-CH"/>
              </w:rPr>
            </w:pPr>
            <w:r w:rsidRPr="00D8629B">
              <w:rPr>
                <w:bCs/>
                <w:lang w:val="fr-CH"/>
              </w:rPr>
              <w:t>Tel: +(32 2) 29 54263</w:t>
            </w:r>
          </w:p>
          <w:p w:rsidR="00EA4725" w:rsidRPr="0065690F" w:rsidP="00F3021D" w14:paraId="40F31083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7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</w:p>
        </w:tc>
      </w:tr>
    </w:tbl>
    <w:p w:rsidR="007141CF" w:rsidRPr="00441372" w:rsidP="00441372" w14:paraId="2B631AA8" w14:textId="77777777"/>
    <w:sectPr w:rsidSect="00D86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D8629B" w:rsidP="00D8629B" w14:paraId="7B985E39" w14:textId="757C75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D8629B" w:rsidP="00D8629B" w14:paraId="501EDA07" w14:textId="2765164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589F1B4C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629B" w:rsidRPr="00D8629B" w:rsidP="00D8629B" w14:paraId="4BECCAA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29B">
      <w:t>G/SPS/N/EU/842</w:t>
    </w:r>
  </w:p>
  <w:p w:rsidR="00D8629B" w:rsidRPr="00D8629B" w:rsidP="00D8629B" w14:paraId="158358C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8629B" w:rsidRPr="00D8629B" w:rsidP="00D8629B" w14:paraId="77364ED3" w14:textId="562647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29B">
      <w:t xml:space="preserve">- </w:t>
    </w:r>
    <w:r w:rsidRPr="00D8629B">
      <w:fldChar w:fldCharType="begin"/>
    </w:r>
    <w:r w:rsidRPr="00D8629B">
      <w:instrText xml:space="preserve"> PAGE </w:instrText>
    </w:r>
    <w:r w:rsidRPr="00D8629B">
      <w:fldChar w:fldCharType="separate"/>
    </w:r>
    <w:r w:rsidRPr="00D8629B">
      <w:t>2</w:t>
    </w:r>
    <w:r w:rsidRPr="00D8629B">
      <w:fldChar w:fldCharType="end"/>
    </w:r>
    <w:r w:rsidRPr="00D8629B">
      <w:t xml:space="preserve"> -</w:t>
    </w:r>
  </w:p>
  <w:p w:rsidR="00EA4725" w:rsidRPr="00D8629B" w:rsidP="00D8629B" w14:paraId="200EBEE8" w14:textId="409D8C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629B" w:rsidRPr="00D8629B" w:rsidP="00D8629B" w14:paraId="2EA9636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29B">
      <w:t>G/SPS/N/EU/842</w:t>
    </w:r>
  </w:p>
  <w:p w:rsidR="00D8629B" w:rsidRPr="00D8629B" w:rsidP="00D8629B" w14:paraId="447466E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8629B" w:rsidRPr="00D8629B" w:rsidP="00D8629B" w14:paraId="7358FA27" w14:textId="3357A57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629B">
      <w:t xml:space="preserve">- </w:t>
    </w:r>
    <w:r w:rsidRPr="00D8629B">
      <w:fldChar w:fldCharType="begin"/>
    </w:r>
    <w:r w:rsidRPr="00D8629B">
      <w:instrText xml:space="preserve"> PAGE </w:instrText>
    </w:r>
    <w:r w:rsidRPr="00D8629B">
      <w:fldChar w:fldCharType="separate"/>
    </w:r>
    <w:r w:rsidRPr="00D8629B">
      <w:rPr>
        <w:noProof/>
      </w:rPr>
      <w:t>2</w:t>
    </w:r>
    <w:r w:rsidRPr="00D8629B">
      <w:fldChar w:fldCharType="end"/>
    </w:r>
    <w:r w:rsidRPr="00D8629B">
      <w:t xml:space="preserve"> -</w:t>
    </w:r>
  </w:p>
  <w:p w:rsidR="00EA4725" w:rsidRPr="00D8629B" w:rsidP="00D8629B" w14:paraId="633009B6" w14:textId="42C3F9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3949CCCC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3FB9ED5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77094285" w14:textId="12FBFA16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3DE02D11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5F4277EA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13FF22A1" w14:textId="77777777">
          <w:pPr>
            <w:jc w:val="right"/>
            <w:rPr>
              <w:b/>
              <w:szCs w:val="16"/>
            </w:rPr>
          </w:pPr>
        </w:p>
      </w:tc>
    </w:tr>
    <w:tr w14:paraId="69AE1DEC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5C2DAFF4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8629B" w:rsidP="00656ABC" w14:paraId="412E89DA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G/SPS/N/EU/842</w:t>
          </w:r>
        </w:p>
        <w:bookmarkEnd w:id="1"/>
        <w:p w:rsidR="00656ABC" w:rsidRPr="00EA4725" w:rsidP="00656ABC" w14:paraId="7E7856FD" w14:textId="5F00EA6F">
          <w:pPr>
            <w:jc w:val="right"/>
            <w:rPr>
              <w:b/>
              <w:szCs w:val="16"/>
            </w:rPr>
          </w:pPr>
        </w:p>
      </w:tc>
    </w:tr>
    <w:tr w14:paraId="0F8D7A7C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7BEC3DE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4C6D1362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19 March 2025</w:t>
          </w:r>
          <w:bookmarkEnd w:id="3"/>
        </w:p>
      </w:tc>
    </w:tr>
    <w:tr w14:paraId="56DDB0FA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41A09F65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(25-1964)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4A0FAFF2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7F9067F9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11DB4D66" w14:textId="02EBDAA9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25350F15" w14:textId="5035664E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61F1C9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93181"/>
    <w:multiLevelType w:val="hybridMultilevel"/>
    <w:tmpl w:val="AD1EF93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3D66F4"/>
    <w:multiLevelType w:val="hybridMultilevel"/>
    <w:tmpl w:val="F5B25352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430594">
    <w:abstractNumId w:val="9"/>
  </w:num>
  <w:num w:numId="2" w16cid:durableId="1184780327">
    <w:abstractNumId w:val="7"/>
  </w:num>
  <w:num w:numId="3" w16cid:durableId="795875601">
    <w:abstractNumId w:val="6"/>
  </w:num>
  <w:num w:numId="4" w16cid:durableId="2059350997">
    <w:abstractNumId w:val="5"/>
  </w:num>
  <w:num w:numId="5" w16cid:durableId="1560096579">
    <w:abstractNumId w:val="4"/>
  </w:num>
  <w:num w:numId="6" w16cid:durableId="1271011513">
    <w:abstractNumId w:val="13"/>
  </w:num>
  <w:num w:numId="7" w16cid:durableId="420444396">
    <w:abstractNumId w:val="12"/>
  </w:num>
  <w:num w:numId="8" w16cid:durableId="1866597644">
    <w:abstractNumId w:val="11"/>
  </w:num>
  <w:num w:numId="9" w16cid:durableId="2102291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9735005">
    <w:abstractNumId w:val="14"/>
  </w:num>
  <w:num w:numId="11" w16cid:durableId="1646007414">
    <w:abstractNumId w:val="8"/>
  </w:num>
  <w:num w:numId="12" w16cid:durableId="313412876">
    <w:abstractNumId w:val="3"/>
  </w:num>
  <w:num w:numId="13" w16cid:durableId="238828725">
    <w:abstractNumId w:val="2"/>
  </w:num>
  <w:num w:numId="14" w16cid:durableId="1576167003">
    <w:abstractNumId w:val="1"/>
  </w:num>
  <w:num w:numId="15" w16cid:durableId="145628308">
    <w:abstractNumId w:val="0"/>
  </w:num>
  <w:num w:numId="16" w16cid:durableId="1442651103">
    <w:abstractNumId w:val="15"/>
  </w:num>
  <w:num w:numId="17" w16cid:durableId="856500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021E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D462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629B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8BD681"/>
  <w15:docId w15:val="{77D371F5-1CAD-4166-8055-55843805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mbers.wto.org/crnattachments/2025/SPS/EEC/25_02306_00_e.pdf" TargetMode="External" /><Relationship Id="rId5" Type="http://schemas.openxmlformats.org/officeDocument/2006/relationships/hyperlink" Target="https://members.wto.org/crnattachments/2025/SPS/EEC/25_02306_01_e.pdf" TargetMode="External" /><Relationship Id="rId6" Type="http://schemas.openxmlformats.org/officeDocument/2006/relationships/hyperlink" Target="https://eur-lex.europa.eu/legal-content/EN/TXT/PDF/?uri=CELEX:32016R2031&amp;qid=1742299423644" TargetMode="External" /><Relationship Id="rId7" Type="http://schemas.openxmlformats.org/officeDocument/2006/relationships/hyperlink" Target="mailto:sps@ec.europa.e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11</cp:revision>
  <dcterms:created xsi:type="dcterms:W3CDTF">2017-07-03T11:19:00Z</dcterms:created>
  <dcterms:modified xsi:type="dcterms:W3CDTF">2025-03-19T05:57:00Z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G/SPS/N/EU/842</vt:lpwstr>
  </property>
</Properties>
</file>