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EA4725" w:rsidRPr="00441372" w:rsidP="00441372" w14:paraId="2034BDB8" w14:textId="77777777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14:paraId="2057DCBD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bottom w:val="single" w:sz="6" w:space="0" w:color="auto"/>
            </w:tcBorders>
          </w:tcPr>
          <w:p w:rsidR="00EA4725" w:rsidRPr="00441372" w:rsidP="00441372" w14:paraId="225F08A6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</w:tcPr>
          <w:p w:rsidR="00EA4725" w:rsidRPr="00441372" w:rsidP="00441372" w14:paraId="32DB82C0" w14:textId="77777777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EUROPEAN UNION</w:t>
            </w:r>
          </w:p>
          <w:p w:rsidR="00EA4725" w:rsidRPr="00441372" w:rsidP="00441372" w14:paraId="2A33CD4D" w14:textId="77777777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14:paraId="588ABB75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65BC095D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79C0124B" w14:textId="77777777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European Commission, Health and Food Safety Directorate-General</w:t>
            </w:r>
          </w:p>
        </w:tc>
      </w:tr>
      <w:tr w14:paraId="2312424C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5D466D37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71D8BE87" w14:textId="77777777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Preparations of a kind used in animal feeding (HS code(s): 2309)</w:t>
            </w:r>
          </w:p>
        </w:tc>
      </w:tr>
      <w:tr w14:paraId="11372064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0E861DD4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4A32F4AE" w14:textId="77777777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P="00441372" w14:paraId="1FE18690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:rsidR="00EA4725" w:rsidRPr="00441372" w:rsidP="00441372" w14:paraId="29F40380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14:paraId="7B0149E7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0AE25C78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29022DA7" w14:textId="77777777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Commission Implementing Regulation (EU) 2025/1391 of 15 July 2025 correcting Implementing Regulation (EU) 2024/1186 as regards the </w:t>
            </w:r>
            <w:r w:rsidRPr="0065690F">
              <w:t>methyleugenol</w:t>
            </w:r>
            <w:r w:rsidRPr="0065690F">
              <w:t xml:space="preserve"> concentration in cinnamon bark essential oil (Text with EEA relevance)</w:t>
            </w:r>
            <w:r w:rsidRPr="00441372" w:rsidR="007E510C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English, French and Spanish</w:t>
            </w:r>
            <w:r w:rsidRPr="00441372" w:rsidR="007E510C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:rsidR="00EA4725" w:rsidRPr="00441372" w:rsidP="00092D00" w14:paraId="539E3323" w14:textId="77777777">
            <w:hyperlink r:id="rId5" w:tgtFrame="_blank" w:history="1">
              <w:r w:rsidRPr="00441372">
                <w:rPr>
                  <w:color w:val="0000FF"/>
                  <w:u w:val="single"/>
                </w:rPr>
                <w:t>https://members.wto.org/crnattachments/2025/SPS/EEC/25_05025_00_e.pdf</w:t>
              </w:r>
            </w:hyperlink>
          </w:p>
          <w:p w:rsidR="00EA4725" w:rsidRPr="00441372" w:rsidP="00441372" w14:paraId="771CACE3" w14:textId="77777777">
            <w:hyperlink r:id="rId6" w:tgtFrame="_blank" w:history="1">
              <w:r w:rsidRPr="00441372">
                <w:rPr>
                  <w:color w:val="0000FF"/>
                  <w:u w:val="single"/>
                </w:rPr>
                <w:t>https://members.wto.org/crnattachments/2025/SPS/EEC/25_05025_00_f.pdf</w:t>
              </w:r>
            </w:hyperlink>
          </w:p>
          <w:p w:rsidR="00EA4725" w:rsidRPr="00441372" w:rsidP="00441372" w14:paraId="2221853D" w14:textId="77777777">
            <w:pPr>
              <w:spacing w:after="120"/>
            </w:pPr>
            <w:hyperlink r:id="rId7" w:tgtFrame="_blank" w:history="1">
              <w:r w:rsidRPr="00441372">
                <w:rPr>
                  <w:color w:val="0000FF"/>
                  <w:u w:val="single"/>
                </w:rPr>
                <w:t>https://members.wto.org/crnattachments/2025/SPS/EEC/25_05025_00_s.pdf</w:t>
              </w:r>
            </w:hyperlink>
          </w:p>
        </w:tc>
      </w:tr>
      <w:tr w14:paraId="0D054C43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7B7D0D76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077A7376" w14:textId="75A2E0AA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maximum permitted concentration of </w:t>
            </w:r>
            <w:r w:rsidRPr="0065690F">
              <w:t>methyleugenol</w:t>
            </w:r>
            <w:r w:rsidRPr="0065690F">
              <w:t xml:space="preserve"> in cinnamon bark essential oil was erroneously referred to in Commission Implementing Regulation (EU) 2024/1186 with a value of '≤ 0</w:t>
            </w:r>
            <w:r>
              <w:t>.</w:t>
            </w:r>
            <w:r w:rsidRPr="0065690F">
              <w:t>04 %', while according to the opinion of the European Food Safety Authority of 27 September 2022, it should not exceed 0</w:t>
            </w:r>
            <w:r>
              <w:t>.</w:t>
            </w:r>
            <w:r w:rsidRPr="0065690F">
              <w:t>004 %. Implementing Regulation (EU) 2024/1186 is therefore corrected accordingly by Implementing Regulation (EU) 2025/1391.</w:t>
            </w:r>
          </w:p>
          <w:p w:rsidR="00CE1D55" w:rsidRPr="0065690F" w:rsidP="00441372" w14:paraId="7FAC38A0" w14:textId="77777777">
            <w:pPr>
              <w:spacing w:before="120" w:after="120"/>
            </w:pPr>
            <w:r w:rsidRPr="0065690F">
              <w:t>A transitional period is included for the interested parties to meet the requirements resulting from this correction.</w:t>
            </w:r>
          </w:p>
        </w:tc>
      </w:tr>
      <w:tr w14:paraId="5C3CEA99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1F4B5CD1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2934736D" w14:textId="77777777">
            <w:pPr>
              <w:spacing w:before="120" w:after="120"/>
            </w:pPr>
            <w:r w:rsidRPr="00441372">
              <w:rPr>
                <w:b/>
              </w:rPr>
              <w:t xml:space="preserve">Objective and rationale: [X] food safety, [X] animal health, </w:t>
            </w: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 xml:space="preserve"> plant protection, </w:t>
            </w: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 xml:space="preserve"> protect humans from animal/plant pest or disease, </w:t>
            </w: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 xml:space="preserve"> protect territory from other damage from pests.</w:t>
            </w:r>
            <w:r w:rsidRPr="0065690F">
              <w:t xml:space="preserve"> </w:t>
            </w:r>
          </w:p>
        </w:tc>
      </w:tr>
      <w:tr w14:paraId="405FBFCE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2800CCCB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41BD6016" w14:textId="77777777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P="00441372" w14:paraId="191C0BC1" w14:textId="6EDA9F7A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Pr="00441372" w:rsidR="007E510C">
              <w:rPr>
                <w:b/>
              </w:rPr>
              <w:t>:</w:t>
            </w:r>
            <w:r w:rsidRPr="0065690F">
              <w:t xml:space="preserve"> Code of practice on Good Animal Feeding CAC/RCP</w:t>
            </w:r>
            <w:r>
              <w:t> </w:t>
            </w:r>
            <w:r w:rsidRPr="0065690F">
              <w:t>54-2004</w:t>
            </w:r>
          </w:p>
          <w:p w:rsidR="00EA4725" w:rsidRPr="00441372" w:rsidP="00441372" w14:paraId="63FBA3D5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47C90F79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076380C8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P="00092D00" w14:paraId="0F503ABF" w14:textId="77777777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P="00441372" w14:paraId="13EA6CCF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</w:t>
            </w:r>
            <w:r w:rsidRPr="00441372">
              <w:rPr>
                <w:b/>
              </w:rPr>
              <w:t xml:space="preserve">   [</w:t>
            </w:r>
            <w:r w:rsidRPr="00441372">
              <w:rPr>
                <w:b/>
              </w:rPr>
              <w:t xml:space="preserve"> ] No</w:t>
            </w:r>
          </w:p>
          <w:p w:rsidR="00EA4725" w:rsidRPr="00441372" w:rsidP="00441372" w14:paraId="235CF640" w14:textId="77777777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14:paraId="39484062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344E1169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092D00" w:rsidP="00441372" w14:paraId="3C08E76D" w14:textId="77777777">
            <w:pPr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:rsidR="00EA4725" w:rsidRPr="00441372" w:rsidP="00441372" w14:paraId="31FEBF3D" w14:textId="268AF5EA">
            <w:pPr>
              <w:spacing w:before="120"/>
            </w:pPr>
            <w:r w:rsidRPr="0065690F">
              <w:t xml:space="preserve">Scientific Opinion: Safety and efficacy of feed additives consisting of essential oils from the bark and the leaves of </w:t>
            </w:r>
            <w:r w:rsidRPr="0065690F">
              <w:rPr>
                <w:i/>
                <w:iCs/>
              </w:rPr>
              <w:t>Cinnamomum verum</w:t>
            </w:r>
            <w:r w:rsidRPr="0065690F">
              <w:t xml:space="preserve"> J. </w:t>
            </w:r>
            <w:r w:rsidRPr="0065690F">
              <w:t>Presl</w:t>
            </w:r>
            <w:r w:rsidRPr="0065690F">
              <w:t xml:space="preserve"> (cinnamon bark oil and cinnamon leaf oil) for use in all animal species (FEFANA </w:t>
            </w:r>
            <w:r w:rsidRPr="0065690F">
              <w:t>asbl</w:t>
            </w:r>
            <w:r w:rsidRPr="0065690F">
              <w:t>)</w:t>
            </w:r>
          </w:p>
          <w:p w:rsidR="00CE1D55" w:rsidRPr="00092D00" w:rsidP="00092D00" w14:paraId="09130234" w14:textId="58A187B4">
            <w:pPr>
              <w:spacing w:after="120"/>
              <w:rPr>
                <w:lang w:val="fr-CH"/>
              </w:rPr>
            </w:pPr>
            <w:r w:rsidRPr="00092D00">
              <w:rPr>
                <w:i/>
                <w:iCs/>
                <w:lang w:val="fr-CH"/>
              </w:rPr>
              <w:t>EFSA Journal</w:t>
            </w:r>
            <w:r w:rsidRPr="00092D00">
              <w:rPr>
                <w:lang w:val="fr-CH"/>
              </w:rPr>
              <w:t xml:space="preserve"> </w:t>
            </w:r>
            <w:r w:rsidRPr="00092D00">
              <w:rPr>
                <w:lang w:val="fr-CH"/>
              </w:rPr>
              <w:t>2022;</w:t>
            </w:r>
            <w:r w:rsidRPr="00092D00">
              <w:rPr>
                <w:lang w:val="fr-CH"/>
              </w:rPr>
              <w:t xml:space="preserve"> 20(10</w:t>
            </w:r>
            <w:r w:rsidRPr="00092D00">
              <w:rPr>
                <w:lang w:val="fr-CH"/>
              </w:rPr>
              <w:t>):</w:t>
            </w:r>
            <w:r w:rsidRPr="00092D00">
              <w:rPr>
                <w:lang w:val="fr-CH"/>
              </w:rPr>
              <w:t xml:space="preserve">7601, </w:t>
            </w:r>
            <w:hyperlink r:id="rId8" w:history="1">
              <w:r w:rsidRPr="00092D00">
                <w:rPr>
                  <w:color w:val="0000FF"/>
                  <w:u w:val="single"/>
                  <w:lang w:val="fr-CH"/>
                </w:rPr>
                <w:t>https://doi.org/10.2903/j.efsa.2022.7601</w:t>
              </w:r>
            </w:hyperlink>
          </w:p>
        </w:tc>
      </w:tr>
      <w:tr w14:paraId="42F229EC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23DAD1FC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1CB676FB" w14:textId="77777777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15 July 2025</w:t>
            </w:r>
          </w:p>
          <w:p w:rsidR="00EA4725" w:rsidRPr="00441372" w:rsidP="00441372" w14:paraId="1EFF4B22" w14:textId="77777777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16 July 2025</w:t>
            </w:r>
          </w:p>
        </w:tc>
      </w:tr>
      <w:tr w14:paraId="0D8793EA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5F3F2304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142F39F5" w14:textId="77777777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 xml:space="preserve">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This Regulation shall enter into force on the twentieth day following its publication in the Official Journal of the European Union.</w:t>
            </w:r>
          </w:p>
          <w:p w:rsidR="00EA4725" w:rsidRPr="00441372" w:rsidP="00441372" w14:paraId="72CF15E3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14:paraId="06BE8446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25422198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750F96C9" w14:textId="77777777">
            <w:pPr>
              <w:spacing w:before="120" w:after="120"/>
            </w:pPr>
            <w:r w:rsidRPr="00441372">
              <w:rPr>
                <w:b/>
              </w:rPr>
              <w:t xml:space="preserve">Final date for comments: </w:t>
            </w: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 xml:space="preserve">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:rsidR="00EA4725" w:rsidRPr="00441372" w:rsidP="00441372" w14:paraId="7218A3AA" w14:textId="77777777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:rsidR="00CE1D55" w:rsidRPr="0065690F" w:rsidP="00441372" w14:paraId="364B9A55" w14:textId="77777777">
            <w:r w:rsidRPr="0065690F">
              <w:t>European Commission</w:t>
            </w:r>
          </w:p>
          <w:p w:rsidR="00CE1D55" w:rsidRPr="0065690F" w:rsidP="00441372" w14:paraId="0D6C862C" w14:textId="77777777">
            <w:r w:rsidRPr="0065690F">
              <w:t>DG Health and Food Safety, Unit A4-Multilateral International Relations</w:t>
            </w:r>
          </w:p>
          <w:p w:rsidR="00CE1D55" w:rsidRPr="00092D00" w:rsidP="00441372" w14:paraId="176410EA" w14:textId="77777777">
            <w:pPr>
              <w:rPr>
                <w:lang w:val="fr-CH"/>
              </w:rPr>
            </w:pPr>
            <w:r w:rsidRPr="00092D00">
              <w:rPr>
                <w:lang w:val="fr-CH"/>
              </w:rPr>
              <w:t>Rue Froissart 101</w:t>
            </w:r>
          </w:p>
          <w:p w:rsidR="00CE1D55" w:rsidRPr="00092D00" w:rsidP="00441372" w14:paraId="74E9AD0F" w14:textId="77777777">
            <w:pPr>
              <w:rPr>
                <w:lang w:val="fr-CH"/>
              </w:rPr>
            </w:pPr>
            <w:r w:rsidRPr="00092D00">
              <w:rPr>
                <w:lang w:val="fr-CH"/>
              </w:rPr>
              <w:t>B-1049 Brussels</w:t>
            </w:r>
          </w:p>
          <w:p w:rsidR="00CE1D55" w:rsidRPr="00092D00" w:rsidP="00441372" w14:paraId="43A1004D" w14:textId="77777777">
            <w:pPr>
              <w:rPr>
                <w:lang w:val="fr-CH"/>
              </w:rPr>
            </w:pPr>
            <w:r w:rsidRPr="00092D00">
              <w:rPr>
                <w:lang w:val="fr-CH"/>
              </w:rPr>
              <w:t>Tel:</w:t>
            </w:r>
            <w:r w:rsidRPr="00092D00">
              <w:rPr>
                <w:lang w:val="fr-CH"/>
              </w:rPr>
              <w:t xml:space="preserve"> +(32 2) 29 54263</w:t>
            </w:r>
          </w:p>
          <w:p w:rsidR="00CE1D55" w:rsidRPr="00060B78" w:rsidP="00441372" w14:paraId="12955A86" w14:textId="77777777">
            <w:pPr>
              <w:spacing w:after="120"/>
              <w:rPr>
                <w:lang w:val="pt-BR"/>
              </w:rPr>
            </w:pPr>
            <w:r w:rsidRPr="00060B78">
              <w:rPr>
                <w:lang w:val="pt-BR"/>
              </w:rPr>
              <w:t xml:space="preserve">E-mail: </w:t>
            </w:r>
            <w:hyperlink r:id="rId9" w:history="1">
              <w:r w:rsidRPr="00060B78">
                <w:rPr>
                  <w:color w:val="0000FF"/>
                  <w:u w:val="single"/>
                  <w:lang w:val="pt-BR"/>
                </w:rPr>
                <w:t>sps@ec.europa.eu</w:t>
              </w:r>
            </w:hyperlink>
          </w:p>
        </w:tc>
      </w:tr>
      <w:tr w14:paraId="40488E63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</w:tcBorders>
          </w:tcPr>
          <w:p w:rsidR="00EA4725" w:rsidRPr="00441372" w:rsidP="00F3021D" w14:paraId="55E530BE" w14:textId="77777777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</w:tcPr>
          <w:p w:rsidR="00EA4725" w:rsidRPr="00441372" w:rsidP="00F3021D" w14:paraId="548BD585" w14:textId="77777777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P="00F3021D" w14:paraId="138B29C2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:rsidR="00EA4725" w:rsidRPr="0065690F" w:rsidP="00F3021D" w14:paraId="5CCDB42B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:rsidR="00EA4725" w:rsidRPr="00092D00" w:rsidP="00F3021D" w14:paraId="5A85B467" w14:textId="77777777">
            <w:pPr>
              <w:keepNext/>
              <w:keepLines/>
              <w:rPr>
                <w:bCs/>
                <w:lang w:val="fr-CH"/>
              </w:rPr>
            </w:pPr>
            <w:r w:rsidRPr="00092D00">
              <w:rPr>
                <w:bCs/>
                <w:lang w:val="fr-CH"/>
              </w:rPr>
              <w:t>Rue Froissart 101</w:t>
            </w:r>
          </w:p>
          <w:p w:rsidR="00EA4725" w:rsidRPr="00092D00" w:rsidP="00F3021D" w14:paraId="5666CB01" w14:textId="77777777">
            <w:pPr>
              <w:keepNext/>
              <w:keepLines/>
              <w:rPr>
                <w:bCs/>
                <w:lang w:val="fr-CH"/>
              </w:rPr>
            </w:pPr>
            <w:r w:rsidRPr="00092D00">
              <w:rPr>
                <w:bCs/>
                <w:lang w:val="fr-CH"/>
              </w:rPr>
              <w:t>B-1049 Brussels</w:t>
            </w:r>
          </w:p>
          <w:p w:rsidR="00EA4725" w:rsidRPr="00092D00" w:rsidP="00F3021D" w14:paraId="4086BB4E" w14:textId="77777777">
            <w:pPr>
              <w:keepNext/>
              <w:keepLines/>
              <w:rPr>
                <w:bCs/>
                <w:lang w:val="fr-CH"/>
              </w:rPr>
            </w:pPr>
            <w:r w:rsidRPr="00092D00">
              <w:rPr>
                <w:bCs/>
                <w:lang w:val="fr-CH"/>
              </w:rPr>
              <w:t>Tel:</w:t>
            </w:r>
            <w:r w:rsidRPr="00092D00">
              <w:rPr>
                <w:bCs/>
                <w:lang w:val="fr-CH"/>
              </w:rPr>
              <w:t xml:space="preserve"> +(32 2) 29 54263</w:t>
            </w:r>
          </w:p>
          <w:p w:rsidR="00EA4725" w:rsidRPr="00060B78" w:rsidP="00F3021D" w14:paraId="0BCC864A" w14:textId="77777777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060B78">
              <w:rPr>
                <w:bCs/>
                <w:lang w:val="pt-BR"/>
              </w:rPr>
              <w:t xml:space="preserve">E-mail: </w:t>
            </w:r>
            <w:hyperlink r:id="rId9" w:history="1">
              <w:r w:rsidRPr="00060B78">
                <w:rPr>
                  <w:bCs/>
                  <w:color w:val="0000FF"/>
                  <w:u w:val="single"/>
                  <w:lang w:val="pt-BR"/>
                </w:rPr>
                <w:t>sps@ec.europa.eu</w:t>
              </w:r>
            </w:hyperlink>
          </w:p>
        </w:tc>
      </w:tr>
    </w:tbl>
    <w:p w:rsidR="007141CF" w:rsidRPr="00060B78" w:rsidP="00441372" w14:paraId="3A8B4D13" w14:textId="77777777">
      <w:pPr>
        <w:rPr>
          <w:lang w:val="pt-BR"/>
        </w:rPr>
      </w:pPr>
    </w:p>
    <w:sectPr w:rsidSect="00092D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092D00" w:rsidP="00092D00" w14:paraId="716007FE" w14:textId="577F45E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092D00" w:rsidP="00092D00" w14:paraId="31F2FC35" w14:textId="2E9504A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63EB" w:rsidRPr="00441372" w:rsidP="00821CFF" w14:paraId="284EF2C6" w14:textId="77777777">
    <w:pPr>
      <w:pStyle w:val="Footer"/>
    </w:pPr>
    <w:r w:rsidRPr="00441372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2D00" w:rsidRPr="00092D00" w:rsidP="00092D00" w14:paraId="69811413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92D00">
      <w:t>G/SPS/N/EU/871</w:t>
    </w:r>
  </w:p>
  <w:p w:rsidR="00092D00" w:rsidRPr="00092D00" w:rsidP="00092D00" w14:paraId="574AF04F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92D00" w:rsidRPr="00092D00" w:rsidP="00092D00" w14:paraId="56835F57" w14:textId="17EC17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92D00">
      <w:t xml:space="preserve">- </w:t>
    </w:r>
    <w:r w:rsidRPr="00092D00">
      <w:fldChar w:fldCharType="begin"/>
    </w:r>
    <w:r w:rsidRPr="00092D00">
      <w:instrText xml:space="preserve"> PAGE </w:instrText>
    </w:r>
    <w:r w:rsidRPr="00092D00">
      <w:fldChar w:fldCharType="separate"/>
    </w:r>
    <w:r w:rsidRPr="00092D00">
      <w:t>2</w:t>
    </w:r>
    <w:r w:rsidRPr="00092D00">
      <w:fldChar w:fldCharType="end"/>
    </w:r>
    <w:r w:rsidRPr="00092D00">
      <w:t xml:space="preserve"> -</w:t>
    </w:r>
  </w:p>
  <w:p w:rsidR="00EA4725" w:rsidRPr="00092D00" w:rsidP="00092D00" w14:paraId="486F0458" w14:textId="691E9D3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2D00" w:rsidRPr="00092D00" w:rsidP="00092D00" w14:paraId="4B009478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92D00">
      <w:t>G/SPS/N/EU/871</w:t>
    </w:r>
  </w:p>
  <w:p w:rsidR="00092D00" w:rsidRPr="00092D00" w:rsidP="00092D00" w14:paraId="465940F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92D00" w:rsidRPr="00092D00" w:rsidP="00092D00" w14:paraId="2E3D6621" w14:textId="704C9E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92D00">
      <w:t xml:space="preserve">- </w:t>
    </w:r>
    <w:r w:rsidRPr="00092D00">
      <w:fldChar w:fldCharType="begin"/>
    </w:r>
    <w:r w:rsidRPr="00092D00">
      <w:instrText xml:space="preserve"> PAGE </w:instrText>
    </w:r>
    <w:r w:rsidRPr="00092D00">
      <w:fldChar w:fldCharType="separate"/>
    </w:r>
    <w:r w:rsidRPr="00092D00">
      <w:rPr>
        <w:noProof/>
      </w:rPr>
      <w:t>2</w:t>
    </w:r>
    <w:r w:rsidRPr="00092D00">
      <w:fldChar w:fldCharType="end"/>
    </w:r>
    <w:r w:rsidRPr="00092D00">
      <w:t xml:space="preserve"> -</w:t>
    </w:r>
  </w:p>
  <w:p w:rsidR="00EA4725" w:rsidRPr="00092D00" w:rsidP="00092D00" w14:paraId="4DB7AB6B" w14:textId="48A99EC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1F3AA62B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27F8A0DE" w14:textId="77777777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084020E5" w14:textId="710013F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14:paraId="41DF4EFF" w14:textId="77777777" w:rsidTr="00EE3CAF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P="00422B6F" w14:paraId="28058335" w14:textId="77777777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2049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76875BF2" w14:textId="77777777">
          <w:pPr>
            <w:jc w:val="right"/>
            <w:rPr>
              <w:b/>
              <w:szCs w:val="16"/>
            </w:rPr>
          </w:pPr>
        </w:p>
      </w:tc>
    </w:tr>
    <w:tr w14:paraId="1849F6E6" w14:textId="77777777" w:rsidTr="00EE3CAF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2EE65EAF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92D00" w:rsidP="00656ABC" w14:paraId="4165135A" w14:textId="77777777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G/SPS/N/EU/871</w:t>
          </w:r>
        </w:p>
        <w:bookmarkEnd w:id="1"/>
        <w:p w:rsidR="00656ABC" w:rsidRPr="00EA4725" w:rsidP="00656ABC" w14:paraId="4CCE1009" w14:textId="78FDF320">
          <w:pPr>
            <w:jc w:val="right"/>
            <w:rPr>
              <w:b/>
              <w:szCs w:val="16"/>
            </w:rPr>
          </w:pPr>
        </w:p>
      </w:tc>
    </w:tr>
    <w:tr w14:paraId="688A1A18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68918FEC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334B3DAE" w14:textId="3A3CD018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>
            <w:rPr>
              <w:szCs w:val="16"/>
            </w:rPr>
            <w:t>30</w:t>
          </w:r>
          <w:r w:rsidRPr="00EA4725" w:rsidR="00092D00">
            <w:rPr>
              <w:szCs w:val="16"/>
            </w:rPr>
            <w:t xml:space="preserve"> July 2025</w:t>
          </w:r>
          <w:bookmarkEnd w:id="3"/>
        </w:p>
      </w:tc>
    </w:tr>
    <w:tr w14:paraId="3CE9BCCE" w14:textId="77777777" w:rsidTr="00EE3CAF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1517FB6A" w14:textId="77777777">
          <w:pPr>
            <w:jc w:val="left"/>
            <w:rPr>
              <w:b/>
            </w:rPr>
          </w:pPr>
          <w:bookmarkStart w:id="4" w:name="bmkSerial"/>
          <w:r>
            <w:rPr>
              <w:b w:val="0"/>
              <w:color w:val="FF0000"/>
            </w:rPr>
            <w:t>(25-4905)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5414CC2D" w14:textId="77777777">
          <w:pPr>
            <w:jc w:val="right"/>
            <w:rPr>
              <w:szCs w:val="16"/>
            </w:rPr>
          </w:pPr>
          <w:bookmarkStart w:id="5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"/>
        </w:p>
      </w:tc>
    </w:tr>
    <w:tr w14:paraId="5A5B47DB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P="00422B6F" w14:paraId="6DFCF83C" w14:textId="50968056">
          <w:pPr>
            <w:jc w:val="left"/>
            <w:rPr>
              <w:sz w:val="14"/>
              <w:szCs w:val="16"/>
            </w:rPr>
          </w:pPr>
          <w:bookmarkStart w:id="6" w:name="bmkCommittee"/>
          <w:r>
            <w:rPr>
              <w:b/>
            </w:rPr>
            <w:t>Committee on Sanitary and Phytosanitary Measures</w:t>
          </w:r>
          <w:bookmarkEnd w:id="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P="00EC687E" w14:paraId="1CCC07FD" w14:textId="703AAEA5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English</w:t>
          </w:r>
          <w:bookmarkEnd w:id="7"/>
        </w:p>
      </w:tc>
    </w:tr>
  </w:tbl>
  <w:p w:rsidR="00ED54E0" w:rsidRPr="00441372" w14:paraId="7AE0795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0860959">
    <w:abstractNumId w:val="9"/>
  </w:num>
  <w:num w:numId="2" w16cid:durableId="2031567406">
    <w:abstractNumId w:val="7"/>
  </w:num>
  <w:num w:numId="3" w16cid:durableId="404449071">
    <w:abstractNumId w:val="6"/>
  </w:num>
  <w:num w:numId="4" w16cid:durableId="194931719">
    <w:abstractNumId w:val="5"/>
  </w:num>
  <w:num w:numId="5" w16cid:durableId="1002122877">
    <w:abstractNumId w:val="4"/>
  </w:num>
  <w:num w:numId="6" w16cid:durableId="789476656">
    <w:abstractNumId w:val="12"/>
  </w:num>
  <w:num w:numId="7" w16cid:durableId="977147526">
    <w:abstractNumId w:val="11"/>
  </w:num>
  <w:num w:numId="8" w16cid:durableId="369233441">
    <w:abstractNumId w:val="10"/>
  </w:num>
  <w:num w:numId="9" w16cid:durableId="11734917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5304428">
    <w:abstractNumId w:val="13"/>
  </w:num>
  <w:num w:numId="11" w16cid:durableId="247665303">
    <w:abstractNumId w:val="8"/>
  </w:num>
  <w:num w:numId="12" w16cid:durableId="1715152602">
    <w:abstractNumId w:val="3"/>
  </w:num>
  <w:num w:numId="13" w16cid:durableId="675771564">
    <w:abstractNumId w:val="2"/>
  </w:num>
  <w:num w:numId="14" w16cid:durableId="512112551">
    <w:abstractNumId w:val="1"/>
  </w:num>
  <w:num w:numId="15" w16cid:durableId="49854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SortMethod w:val="name"/>
  <w:doNotTrackMoves/>
  <w:defaultTabStop w:val="567"/>
  <w:evenAndOddHeader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426AC"/>
    <w:rsid w:val="00060B78"/>
    <w:rsid w:val="00084B3C"/>
    <w:rsid w:val="00092985"/>
    <w:rsid w:val="00092D00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217C8"/>
    <w:rsid w:val="005336B8"/>
    <w:rsid w:val="00547B5F"/>
    <w:rsid w:val="00593EE6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B572A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1D55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2283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F36292"/>
  <w15:docId w15:val="{9169F1E2-7885-4286-A678-D832EB1A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092D00"/>
    <w:rPr>
      <w:rFonts w:ascii="Verdana" w:hAnsi="Verdana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embers.wto.org/crnattachments/2025/SPS/EEC/25_05025_00_e.pdf" TargetMode="External" /><Relationship Id="rId6" Type="http://schemas.openxmlformats.org/officeDocument/2006/relationships/hyperlink" Target="https://members.wto.org/crnattachments/2025/SPS/EEC/25_05025_00_f.pdf" TargetMode="External" /><Relationship Id="rId7" Type="http://schemas.openxmlformats.org/officeDocument/2006/relationships/hyperlink" Target="https://members.wto.org/crnattachments/2025/SPS/EEC/25_05025_00_s.pdf" TargetMode="External" /><Relationship Id="rId8" Type="http://schemas.openxmlformats.org/officeDocument/2006/relationships/hyperlink" Target="https://doi.org/10.2903/j.efsa.2022.7601" TargetMode="External" /><Relationship Id="rId9" Type="http://schemas.openxmlformats.org/officeDocument/2006/relationships/hyperlink" Target="mailto:sps@ec.europa.eu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titus xmlns="http://schemas.titus.com/TitusProperties/">
  <TitusGUID xmlns="">b6f19743-0ea5-4da4-a67e-39e345e37be5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F3FDE87-8C96-4E48-9E24-C7F39F579D2B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Carter-Johnson, Victoria</cp:lastModifiedBy>
  <cp:revision>15</cp:revision>
  <dcterms:created xsi:type="dcterms:W3CDTF">2017-07-03T11:19:00Z</dcterms:created>
  <dcterms:modified xsi:type="dcterms:W3CDTF">2025-07-30T06:38:00Z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G/SPS/N/EU/871</vt:lpwstr>
  </property>
  <property fmtid="{D5CDD505-2E9C-101B-9397-08002B2CF9AE}" pid="3" name="TitusGUID">
    <vt:lpwstr>b6f19743-0ea5-4da4-a67e-39e345e37be5</vt:lpwstr>
  </property>
  <property fmtid="{D5CDD505-2E9C-101B-9397-08002B2CF9AE}" pid="4" name="WTOCLASSIFICATION">
    <vt:lpwstr>WTO OFFICIAL</vt:lpwstr>
  </property>
</Properties>
</file>