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0283D" w14:textId="77777777" w:rsidR="00EA4725" w:rsidRPr="00441372" w:rsidRDefault="009E0B9F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620CE" w14:paraId="0A21E5A2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624AA44" w14:textId="77777777" w:rsidR="00EA4725" w:rsidRPr="00441372" w:rsidRDefault="009E0B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37A4C127" w14:textId="77777777" w:rsidR="00EA4725" w:rsidRPr="00441372" w:rsidRDefault="009E0B9F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EUROPEAN UNION</w:t>
            </w:r>
            <w:bookmarkEnd w:id="1"/>
          </w:p>
          <w:p w14:paraId="4692D5D3" w14:textId="77777777" w:rsidR="00EA4725" w:rsidRPr="00441372" w:rsidRDefault="009E0B9F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C620CE" w14:paraId="3BE5ABE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73337E" w14:textId="77777777" w:rsidR="00EA4725" w:rsidRPr="00441372" w:rsidRDefault="009E0B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8B5917" w14:textId="77777777" w:rsidR="00EA4725" w:rsidRPr="00441372" w:rsidRDefault="009E0B9F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European Commission, Health and Food Safety Directorate-General</w:t>
            </w:r>
            <w:bookmarkEnd w:id="5"/>
          </w:p>
        </w:tc>
      </w:tr>
      <w:tr w:rsidR="00C620CE" w14:paraId="736F3E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00DA57" w14:textId="77777777" w:rsidR="00EA4725" w:rsidRPr="00441372" w:rsidRDefault="009E0B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C52D7F" w14:textId="77777777" w:rsidR="00EA4725" w:rsidRPr="00441372" w:rsidRDefault="009E0B9F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Cereals (HS codes: 1001, 1002, 1003, 1004, 1005, 1006, 1007, 1008), foodstuffs of animal origin (HS codes: 0201, 0202, 0203, 0204, 0205, 0206, 0207, 0208, 0209, 0210) and certain products of plant origin, including fruit and vegetables</w:t>
            </w:r>
            <w:bookmarkEnd w:id="7"/>
          </w:p>
        </w:tc>
      </w:tr>
      <w:tr w:rsidR="00C620CE" w14:paraId="1456527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C0544A" w14:textId="77777777" w:rsidR="00EA4725" w:rsidRPr="00441372" w:rsidRDefault="009E0B9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6E4811" w14:textId="77777777" w:rsidR="00EA4725" w:rsidRPr="00441372" w:rsidRDefault="009E0B9F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FCF7BF4" w14:textId="77777777" w:rsidR="00EA4725" w:rsidRPr="00441372" w:rsidRDefault="009E0B9F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5D3404C" w14:textId="77777777" w:rsidR="00EA4725" w:rsidRPr="00441372" w:rsidRDefault="009E0B9F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C620CE" w14:paraId="0D193A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A580AF" w14:textId="77777777" w:rsidR="00EA4725" w:rsidRPr="00441372" w:rsidRDefault="009E0B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4685ED" w14:textId="77777777" w:rsidR="00EA4725" w:rsidRPr="00441372" w:rsidRDefault="009E0B9F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 xml:space="preserve">Draft Commission Regulation amending Annexes II and V to Regulation (EC) No 396/2005 of the European Parliament and of the Council as regards maximum residue levels for </w:t>
            </w:r>
            <w:proofErr w:type="spellStart"/>
            <w:r w:rsidRPr="0065690F">
              <w:t>oxamyl</w:t>
            </w:r>
            <w:proofErr w:type="spellEnd"/>
            <w:r w:rsidRPr="0065690F">
              <w:t xml:space="preserve"> in or on certain products (Text with EEA relevance)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4 + Annexes</w:t>
            </w:r>
            <w:bookmarkEnd w:id="20"/>
          </w:p>
          <w:bookmarkStart w:id="21" w:name="sps5d"/>
          <w:p w14:paraId="328CB276" w14:textId="77777777" w:rsidR="00EA4725" w:rsidRPr="00441372" w:rsidRDefault="009E0B9F" w:rsidP="009549E4">
            <w:r>
              <w:fldChar w:fldCharType="begin"/>
            </w:r>
            <w:r>
              <w:instrText xml:space="preserve"> HYPERLINK "https://members.wto.org/crnattachments/2023/SPS/EEC/23_10619_00_e.pdf"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https://members.wto.org/crnattachments/2023/SPS/EEC/23_10619_00_e.pdf</w:t>
            </w:r>
            <w:r>
              <w:rPr>
                <w:color w:val="0000FF"/>
                <w:u w:val="single"/>
              </w:rPr>
              <w:fldChar w:fldCharType="end"/>
            </w:r>
          </w:p>
          <w:p w14:paraId="5AA718C8" w14:textId="77777777" w:rsidR="00EA4725" w:rsidRPr="00441372" w:rsidRDefault="002F7F17" w:rsidP="00441372">
            <w:hyperlink r:id="rId8" w:tgtFrame="_blank" w:history="1">
              <w:r w:rsidR="009E0B9F" w:rsidRPr="00441372">
                <w:rPr>
                  <w:color w:val="0000FF"/>
                  <w:u w:val="single"/>
                </w:rPr>
                <w:t>https://members.wto.org/crnattachments/2023/SPS/EEC/23_10619_01_e.pdf</w:t>
              </w:r>
            </w:hyperlink>
          </w:p>
          <w:p w14:paraId="576E882C" w14:textId="77777777" w:rsidR="00EA4725" w:rsidRPr="00441372" w:rsidRDefault="002F7F17" w:rsidP="00441372">
            <w:hyperlink r:id="rId9" w:tgtFrame="_blank" w:history="1">
              <w:r w:rsidR="009E0B9F" w:rsidRPr="00441372">
                <w:rPr>
                  <w:color w:val="0000FF"/>
                  <w:u w:val="single"/>
                </w:rPr>
                <w:t>https://members.wto.org/crnattachments/2023/SPS/EEC/23_10619_02_e.pdf</w:t>
              </w:r>
            </w:hyperlink>
          </w:p>
          <w:p w14:paraId="466ADFD1" w14:textId="77777777" w:rsidR="00EA4725" w:rsidRPr="00441372" w:rsidRDefault="002F7F17" w:rsidP="00441372">
            <w:pPr>
              <w:spacing w:after="120"/>
            </w:pPr>
            <w:hyperlink r:id="rId10" w:tgtFrame="_blank" w:history="1">
              <w:r w:rsidR="009E0B9F" w:rsidRPr="00441372">
                <w:rPr>
                  <w:color w:val="0000FF"/>
                  <w:u w:val="single"/>
                </w:rPr>
                <w:t>https://members.wto.org/crnattachments/2023/SPS/EEC/23_10619_03_e.pdf</w:t>
              </w:r>
            </w:hyperlink>
            <w:bookmarkEnd w:id="21"/>
          </w:p>
        </w:tc>
      </w:tr>
      <w:tr w:rsidR="00C620CE" w14:paraId="1957567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F871CC" w14:textId="77777777" w:rsidR="00EA4725" w:rsidRPr="00441372" w:rsidRDefault="009E0B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3264F2" w14:textId="77777777" w:rsidR="00EA4725" w:rsidRPr="00441372" w:rsidRDefault="009E0B9F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The proposed draft Regulation concerns the review of existing MRLs for </w:t>
            </w:r>
            <w:proofErr w:type="spellStart"/>
            <w:r w:rsidRPr="0065690F">
              <w:t>oxamyl</w:t>
            </w:r>
            <w:proofErr w:type="spellEnd"/>
            <w:r w:rsidRPr="0065690F">
              <w:t xml:space="preserve"> in certain food commodities following the non-approval of </w:t>
            </w:r>
            <w:proofErr w:type="spellStart"/>
            <w:r w:rsidRPr="0065690F">
              <w:t>oxamyl</w:t>
            </w:r>
            <w:proofErr w:type="spellEnd"/>
            <w:r w:rsidRPr="0065690F">
              <w:t xml:space="preserve"> in the European Union. Lower MRLs are set after deleting old uses which are not authorised any more in the European Union. MRLs in certain commodities for which a human health concern may not be excluded are also lowered.</w:t>
            </w:r>
            <w:bookmarkEnd w:id="23"/>
          </w:p>
        </w:tc>
      </w:tr>
      <w:tr w:rsidR="00C620CE" w14:paraId="4352329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9D79DC" w14:textId="77777777" w:rsidR="00EA4725" w:rsidRPr="00441372" w:rsidRDefault="009E0B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58CA36" w14:textId="77777777" w:rsidR="00EA4725" w:rsidRPr="00441372" w:rsidRDefault="009E0B9F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 xml:space="preserve">, </w:t>
            </w:r>
            <w:proofErr w:type="gramStart"/>
            <w:r w:rsidRPr="00441372">
              <w:rPr>
                <w:b/>
              </w:rPr>
              <w:t>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C620CE" w14:paraId="146B037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6A99F3" w14:textId="77777777" w:rsidR="00EA4725" w:rsidRPr="00441372" w:rsidRDefault="009E0B9F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A0DEBC" w14:textId="77777777" w:rsidR="00EA4725" w:rsidRPr="00441372" w:rsidRDefault="009E0B9F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158DBBE0" w14:textId="77777777" w:rsidR="00EA4725" w:rsidRPr="00441372" w:rsidRDefault="009E0B9F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</w:t>
            </w:r>
            <w:proofErr w:type="gramStart"/>
            <w:r w:rsidRPr="00441372">
              <w:rPr>
                <w:b/>
                <w:i/>
              </w:rPr>
              <w:t>e.g.</w:t>
            </w:r>
            <w:proofErr w:type="gramEnd"/>
            <w:r w:rsidRPr="00441372">
              <w:rPr>
                <w:b/>
                <w:i/>
              </w:rPr>
              <w:t>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 xml:space="preserve">Codex Maximum Residue Limits for </w:t>
            </w:r>
            <w:proofErr w:type="spellStart"/>
            <w:r w:rsidRPr="0065690F">
              <w:t>oxamyl</w:t>
            </w:r>
            <w:proofErr w:type="spellEnd"/>
            <w:r w:rsidRPr="0065690F">
              <w:t xml:space="preserve"> in some commodities. CODEX MRLs LIST is available at </w:t>
            </w:r>
            <w:hyperlink r:id="rId11" w:tgtFrame="_blank" w:history="1">
              <w:r w:rsidRPr="0065690F">
                <w:rPr>
                  <w:color w:val="0000FF"/>
                  <w:u w:val="single"/>
                </w:rPr>
                <w:t>https://www.fao.org/fao-who-codexalimentarius/codex-texts/dbs/pestres/pesticides/en/</w:t>
              </w:r>
            </w:hyperlink>
            <w:r w:rsidRPr="0065690F">
              <w:t>.</w:t>
            </w:r>
            <w:bookmarkEnd w:id="39"/>
          </w:p>
          <w:p w14:paraId="796D314D" w14:textId="77777777" w:rsidR="00EA4725" w:rsidRPr="00441372" w:rsidRDefault="009E0B9F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D094843" w14:textId="77777777" w:rsidR="00EA4725" w:rsidRPr="00441372" w:rsidRDefault="009E0B9F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182624C2" w14:textId="77777777" w:rsidR="00EA4725" w:rsidRPr="00441372" w:rsidRDefault="009E0B9F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A5CE80B" w14:textId="77777777" w:rsidR="00EA4725" w:rsidRPr="00441372" w:rsidRDefault="009E0B9F" w:rsidP="009549E4">
            <w:pPr>
              <w:spacing w:before="240"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lastRenderedPageBreak/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293E9F00" w14:textId="77777777" w:rsidR="00EA4725" w:rsidRPr="00441372" w:rsidRDefault="009E0B9F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X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626694E5" w14:textId="77777777" w:rsidR="00EA4725" w:rsidRPr="00441372" w:rsidRDefault="009E0B9F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r w:rsidRPr="0065690F">
              <w:t xml:space="preserve">The European Food Safety Authority published a statement on the risk assessment of the existing MRLs for </w:t>
            </w:r>
            <w:proofErr w:type="spellStart"/>
            <w:r w:rsidRPr="0065690F">
              <w:t>oxamyl</w:t>
            </w:r>
            <w:proofErr w:type="spellEnd"/>
            <w:r w:rsidRPr="0065690F">
              <w:t>. Based on this opinion, Regulation (EC) No 396/2005 should be amended following a risk analysis approach.</w:t>
            </w:r>
            <w:bookmarkEnd w:id="54"/>
          </w:p>
        </w:tc>
      </w:tr>
      <w:tr w:rsidR="00C620CE" w14:paraId="5E30A9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719445" w14:textId="77777777" w:rsidR="00EA4725" w:rsidRPr="00441372" w:rsidRDefault="009E0B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A60DDA" w14:textId="77777777" w:rsidR="009549E4" w:rsidRDefault="009E0B9F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68520E4E" w14:textId="5222792E" w:rsidR="00EA4725" w:rsidRPr="00441372" w:rsidRDefault="009E0B9F" w:rsidP="009549E4">
            <w:pPr>
              <w:numPr>
                <w:ilvl w:val="0"/>
                <w:numId w:val="16"/>
              </w:numPr>
              <w:spacing w:before="120"/>
              <w:ind w:left="358"/>
            </w:pPr>
            <w:r w:rsidRPr="0065690F">
              <w:t>Regulation (EC) No 396/2005 of the European Parliament and of the Council of 23</w:t>
            </w:r>
            <w:r>
              <w:t> </w:t>
            </w:r>
            <w:r w:rsidRPr="0065690F">
              <w:t>February 2005 on maximum residue levels of pesticides in or on food and feed of plant and animal origin and amending Council Directive 91/414/EEC</w:t>
            </w:r>
          </w:p>
          <w:p w14:paraId="2EFBAE1D" w14:textId="6255126D" w:rsidR="00AE791E" w:rsidRPr="0065690F" w:rsidRDefault="002F7F17" w:rsidP="009549E4">
            <w:pPr>
              <w:ind w:left="358"/>
            </w:pPr>
            <w:hyperlink r:id="rId12" w:history="1">
              <w:r w:rsidR="009E0B9F" w:rsidRPr="00E91516">
                <w:rPr>
                  <w:rStyle w:val="Hyperlink"/>
                </w:rPr>
                <w:t>http://eur-lex.europa.eu/legal-content/EN/ALL/?uri=CELEX%3A32005R0396</w:t>
              </w:r>
            </w:hyperlink>
          </w:p>
          <w:p w14:paraId="085357F8" w14:textId="7F2F3C1F" w:rsidR="00AE791E" w:rsidRPr="009549E4" w:rsidRDefault="009E0B9F" w:rsidP="009549E4">
            <w:pPr>
              <w:numPr>
                <w:ilvl w:val="0"/>
                <w:numId w:val="16"/>
              </w:numPr>
              <w:ind w:left="358"/>
              <w:rPr>
                <w:lang w:val="fr-CH"/>
              </w:rPr>
            </w:pPr>
            <w:r w:rsidRPr="0065690F">
              <w:t xml:space="preserve">European Food Safety Authority; Statement on the risk assessment of maximum residue levels (MRLs) for </w:t>
            </w:r>
            <w:proofErr w:type="spellStart"/>
            <w:r w:rsidRPr="0065690F">
              <w:t>oxamyl</w:t>
            </w:r>
            <w:proofErr w:type="spellEnd"/>
            <w:r w:rsidRPr="0065690F">
              <w:t xml:space="preserve"> in view of consumer protection. </w:t>
            </w:r>
            <w:r w:rsidRPr="009549E4">
              <w:rPr>
                <w:lang w:val="fr-CH"/>
              </w:rPr>
              <w:t xml:space="preserve">EFSA Journal </w:t>
            </w:r>
            <w:proofErr w:type="gramStart"/>
            <w:r w:rsidRPr="009549E4">
              <w:rPr>
                <w:lang w:val="fr-CH"/>
              </w:rPr>
              <w:t>2023;</w:t>
            </w:r>
            <w:proofErr w:type="gramEnd"/>
            <w:r w:rsidRPr="009549E4">
              <w:rPr>
                <w:lang w:val="fr-CH"/>
              </w:rPr>
              <w:t>21(3):7823</w:t>
            </w:r>
          </w:p>
          <w:p w14:paraId="006278E0" w14:textId="1DEF49BC" w:rsidR="00AE791E" w:rsidRPr="009549E4" w:rsidRDefault="002F7F17" w:rsidP="009549E4">
            <w:pPr>
              <w:ind w:left="358"/>
              <w:rPr>
                <w:lang w:val="fr-CH"/>
              </w:rPr>
            </w:pPr>
            <w:r>
              <w:fldChar w:fldCharType="begin"/>
            </w:r>
            <w:r w:rsidRPr="002F7F17">
              <w:rPr>
                <w:lang w:val="fr-CH"/>
              </w:rPr>
              <w:instrText xml:space="preserve"> HYPERLINK "https://efsa.onlinelibrary.wiley.com/doi/abs/10.2903/j.efsa.2023.7823" </w:instrText>
            </w:r>
            <w:r>
              <w:fldChar w:fldCharType="separate"/>
            </w:r>
            <w:r w:rsidR="009E0B9F" w:rsidRPr="00E91516">
              <w:rPr>
                <w:rStyle w:val="Hyperlink"/>
                <w:lang w:val="fr-CH"/>
              </w:rPr>
              <w:t>https://efsa.onlinelibrary.wiley.com/doi/abs/10.2903/j.efsa.2023.7823</w:t>
            </w:r>
            <w:r>
              <w:rPr>
                <w:rStyle w:val="Hyperlink"/>
                <w:lang w:val="fr-CH"/>
              </w:rPr>
              <w:fldChar w:fldCharType="end"/>
            </w:r>
          </w:p>
          <w:p w14:paraId="5CC3CA31" w14:textId="4D13BA49" w:rsidR="00AE791E" w:rsidRPr="0065690F" w:rsidRDefault="009E0B9F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</w:t>
            </w:r>
            <w:proofErr w:type="gramStart"/>
            <w:r w:rsidRPr="0065690F">
              <w:rPr>
                <w:bCs/>
              </w:rPr>
              <w:t>available</w:t>
            </w:r>
            <w:proofErr w:type="gramEnd"/>
            <w:r w:rsidRPr="0065690F">
              <w:rPr>
                <w:bCs/>
              </w:rPr>
              <w:t xml:space="preserve"> in English)</w:t>
            </w:r>
            <w:bookmarkEnd w:id="57"/>
          </w:p>
        </w:tc>
      </w:tr>
      <w:tr w:rsidR="00C620CE" w14:paraId="18D096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D2F5A7" w14:textId="77777777" w:rsidR="00EA4725" w:rsidRPr="00441372" w:rsidRDefault="009E0B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6C08A" w14:textId="77777777" w:rsidR="00EA4725" w:rsidRPr="00441372" w:rsidRDefault="009E0B9F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January 2024</w:t>
            </w:r>
            <w:bookmarkEnd w:id="59"/>
          </w:p>
          <w:p w14:paraId="64B542CD" w14:textId="77777777" w:rsidR="00EA4725" w:rsidRPr="00441372" w:rsidRDefault="009E0B9F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February 2024</w:t>
            </w:r>
            <w:bookmarkEnd w:id="61"/>
          </w:p>
        </w:tc>
      </w:tr>
      <w:tr w:rsidR="00C620CE" w14:paraId="5AB869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1959ED" w14:textId="77777777" w:rsidR="00EA4725" w:rsidRPr="00441372" w:rsidRDefault="009E0B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9B8D7A" w14:textId="1A3DB9F5" w:rsidR="00EA4725" w:rsidRPr="00441372" w:rsidRDefault="009E0B9F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This Regulation shall enter into force on the twentieth day following its publication in the Official Journal of the European Union and apply three months thereafter.</w:t>
            </w:r>
            <w:bookmarkEnd w:id="65"/>
          </w:p>
          <w:p w14:paraId="528F3385" w14:textId="77777777" w:rsidR="00EA4725" w:rsidRPr="00441372" w:rsidRDefault="009E0B9F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 </w:t>
            </w:r>
            <w:bookmarkEnd w:id="6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C620CE" w14:paraId="39FCDF5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C694E7" w14:textId="77777777" w:rsidR="00EA4725" w:rsidRPr="00441372" w:rsidRDefault="009E0B9F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4B5024" w14:textId="77777777" w:rsidR="00EA4725" w:rsidRPr="00441372" w:rsidRDefault="009E0B9F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27 August 2023</w:t>
            </w:r>
            <w:bookmarkEnd w:id="72"/>
          </w:p>
          <w:p w14:paraId="544E300C" w14:textId="77777777" w:rsidR="00EA4725" w:rsidRPr="00441372" w:rsidRDefault="009E0B9F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6961453" w14:textId="77777777" w:rsidR="00AE791E" w:rsidRPr="0065690F" w:rsidRDefault="009E0B9F" w:rsidP="00441372">
            <w:r w:rsidRPr="0065690F">
              <w:t>European Commission</w:t>
            </w:r>
          </w:p>
          <w:p w14:paraId="5696976E" w14:textId="77777777" w:rsidR="00AE791E" w:rsidRPr="0065690F" w:rsidRDefault="009E0B9F" w:rsidP="00441372">
            <w:r w:rsidRPr="0065690F">
              <w:t>DG Health and Food Safety, Unit A4-Multilateral International Relations</w:t>
            </w:r>
          </w:p>
          <w:p w14:paraId="6A3C4AA6" w14:textId="77777777" w:rsidR="00AE791E" w:rsidRPr="009549E4" w:rsidRDefault="009E0B9F" w:rsidP="00441372">
            <w:pPr>
              <w:rPr>
                <w:lang w:val="fr-CH"/>
              </w:rPr>
            </w:pPr>
            <w:r w:rsidRPr="009549E4">
              <w:rPr>
                <w:lang w:val="fr-CH"/>
              </w:rPr>
              <w:t>Rue Froissart 101</w:t>
            </w:r>
          </w:p>
          <w:p w14:paraId="2608AD87" w14:textId="77777777" w:rsidR="00AE791E" w:rsidRPr="009549E4" w:rsidRDefault="009E0B9F" w:rsidP="00441372">
            <w:pPr>
              <w:rPr>
                <w:lang w:val="fr-CH"/>
              </w:rPr>
            </w:pPr>
            <w:r w:rsidRPr="009549E4">
              <w:rPr>
                <w:lang w:val="fr-CH"/>
              </w:rPr>
              <w:t>B-1049 Brussels</w:t>
            </w:r>
          </w:p>
          <w:p w14:paraId="35F5EB1C" w14:textId="77777777" w:rsidR="00AE791E" w:rsidRPr="009549E4" w:rsidRDefault="009E0B9F" w:rsidP="00441372">
            <w:pPr>
              <w:rPr>
                <w:lang w:val="fr-CH"/>
              </w:rPr>
            </w:pPr>
            <w:proofErr w:type="gramStart"/>
            <w:r w:rsidRPr="009549E4">
              <w:rPr>
                <w:lang w:val="fr-CH"/>
              </w:rPr>
              <w:t>Tel:</w:t>
            </w:r>
            <w:proofErr w:type="gramEnd"/>
            <w:r w:rsidRPr="009549E4">
              <w:rPr>
                <w:lang w:val="fr-CH"/>
              </w:rPr>
              <w:t xml:space="preserve"> +(32 2) 29 54263</w:t>
            </w:r>
          </w:p>
          <w:p w14:paraId="36496D8F" w14:textId="77777777" w:rsidR="00AE791E" w:rsidRPr="0065690F" w:rsidRDefault="009E0B9F" w:rsidP="00441372">
            <w:pPr>
              <w:spacing w:after="120"/>
            </w:pPr>
            <w:r w:rsidRPr="0065690F">
              <w:t xml:space="preserve">E-mail: </w:t>
            </w:r>
            <w:hyperlink r:id="rId13" w:history="1">
              <w:r w:rsidRPr="0065690F">
                <w:rPr>
                  <w:color w:val="0000FF"/>
                  <w:u w:val="single"/>
                </w:rPr>
                <w:t>sps@ec.europa.eu</w:t>
              </w:r>
            </w:hyperlink>
            <w:bookmarkEnd w:id="79"/>
          </w:p>
        </w:tc>
      </w:tr>
      <w:tr w:rsidR="00C620CE" w14:paraId="117AAE0F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511D983" w14:textId="77777777" w:rsidR="00EA4725" w:rsidRPr="00441372" w:rsidRDefault="009E0B9F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8D2518E" w14:textId="77777777" w:rsidR="00EA4725" w:rsidRPr="00441372" w:rsidRDefault="009E0B9F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078F7BB2" w14:textId="77777777" w:rsidR="00EA4725" w:rsidRPr="0065690F" w:rsidRDefault="009E0B9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European Commission</w:t>
            </w:r>
          </w:p>
          <w:p w14:paraId="26891D9A" w14:textId="77777777" w:rsidR="00EA4725" w:rsidRPr="0065690F" w:rsidRDefault="009E0B9F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DG Health and Food Safety, Unit A4-Multilateral International Relations</w:t>
            </w:r>
          </w:p>
          <w:p w14:paraId="754170CA" w14:textId="77777777" w:rsidR="00EA4725" w:rsidRPr="009549E4" w:rsidRDefault="009E0B9F" w:rsidP="00F3021D">
            <w:pPr>
              <w:keepNext/>
              <w:keepLines/>
              <w:rPr>
                <w:bCs/>
                <w:lang w:val="fr-CH"/>
              </w:rPr>
            </w:pPr>
            <w:r w:rsidRPr="009549E4">
              <w:rPr>
                <w:bCs/>
                <w:lang w:val="fr-CH"/>
              </w:rPr>
              <w:t>Rue Froissart 101</w:t>
            </w:r>
          </w:p>
          <w:p w14:paraId="6A90D909" w14:textId="77777777" w:rsidR="00EA4725" w:rsidRPr="009549E4" w:rsidRDefault="009E0B9F" w:rsidP="00F3021D">
            <w:pPr>
              <w:keepNext/>
              <w:keepLines/>
              <w:rPr>
                <w:bCs/>
                <w:lang w:val="fr-CH"/>
              </w:rPr>
            </w:pPr>
            <w:r w:rsidRPr="009549E4">
              <w:rPr>
                <w:bCs/>
                <w:lang w:val="fr-CH"/>
              </w:rPr>
              <w:t>B-1049 Brussels</w:t>
            </w:r>
          </w:p>
          <w:p w14:paraId="51E31E96" w14:textId="77777777" w:rsidR="00EA4725" w:rsidRPr="009549E4" w:rsidRDefault="009E0B9F" w:rsidP="00F3021D">
            <w:pPr>
              <w:keepNext/>
              <w:keepLines/>
              <w:rPr>
                <w:bCs/>
                <w:lang w:val="fr-CH"/>
              </w:rPr>
            </w:pPr>
            <w:proofErr w:type="gramStart"/>
            <w:r w:rsidRPr="009549E4">
              <w:rPr>
                <w:bCs/>
                <w:lang w:val="fr-CH"/>
              </w:rPr>
              <w:t>Tel:</w:t>
            </w:r>
            <w:proofErr w:type="gramEnd"/>
            <w:r w:rsidRPr="009549E4">
              <w:rPr>
                <w:bCs/>
                <w:lang w:val="fr-CH"/>
              </w:rPr>
              <w:t xml:space="preserve"> +(32 2) 29 54263</w:t>
            </w:r>
          </w:p>
          <w:p w14:paraId="1119450D" w14:textId="77777777" w:rsidR="00EA4725" w:rsidRPr="0065690F" w:rsidRDefault="009E0B9F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4" w:history="1">
              <w:r w:rsidRPr="0065690F">
                <w:rPr>
                  <w:bCs/>
                  <w:color w:val="0000FF"/>
                  <w:u w:val="single"/>
                </w:rPr>
                <w:t>sps@ec.europa.eu</w:t>
              </w:r>
            </w:hyperlink>
            <w:bookmarkEnd w:id="86"/>
          </w:p>
        </w:tc>
      </w:tr>
    </w:tbl>
    <w:p w14:paraId="2A7440FB" w14:textId="77777777" w:rsidR="007141CF" w:rsidRPr="00441372" w:rsidRDefault="007141CF" w:rsidP="00441372"/>
    <w:sectPr w:rsidR="007141CF" w:rsidRPr="00441372" w:rsidSect="009549E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C6287" w14:textId="77777777" w:rsidR="00DB4E4C" w:rsidRDefault="009E0B9F">
      <w:r>
        <w:separator/>
      </w:r>
    </w:p>
  </w:endnote>
  <w:endnote w:type="continuationSeparator" w:id="0">
    <w:p w14:paraId="3C5A1328" w14:textId="77777777" w:rsidR="00DB4E4C" w:rsidRDefault="009E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985C" w14:textId="5E5A4844" w:rsidR="00EA4725" w:rsidRPr="009549E4" w:rsidRDefault="009E0B9F" w:rsidP="009549E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A51F" w14:textId="64564789" w:rsidR="00EA4725" w:rsidRPr="009549E4" w:rsidRDefault="009E0B9F" w:rsidP="009549E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9BCA6" w14:textId="77777777" w:rsidR="00C863EB" w:rsidRPr="00441372" w:rsidRDefault="009E0B9F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48D75" w14:textId="77777777" w:rsidR="00DB4E4C" w:rsidRDefault="009E0B9F">
      <w:r>
        <w:separator/>
      </w:r>
    </w:p>
  </w:footnote>
  <w:footnote w:type="continuationSeparator" w:id="0">
    <w:p w14:paraId="0F4C782B" w14:textId="77777777" w:rsidR="00DB4E4C" w:rsidRDefault="009E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8C5DF" w14:textId="77777777" w:rsidR="009549E4" w:rsidRPr="009549E4" w:rsidRDefault="009E0B9F" w:rsidP="009549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49E4">
      <w:t>G/SPS/N/EU/646</w:t>
    </w:r>
  </w:p>
  <w:p w14:paraId="05846084" w14:textId="77777777" w:rsidR="009549E4" w:rsidRPr="009549E4" w:rsidRDefault="009549E4" w:rsidP="009549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67F8A4" w14:textId="4B6BE6DC" w:rsidR="009549E4" w:rsidRPr="009549E4" w:rsidRDefault="009E0B9F" w:rsidP="009549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49E4">
      <w:t xml:space="preserve">- </w:t>
    </w:r>
    <w:r w:rsidRPr="009549E4">
      <w:fldChar w:fldCharType="begin"/>
    </w:r>
    <w:r w:rsidRPr="009549E4">
      <w:instrText xml:space="preserve"> PAGE </w:instrText>
    </w:r>
    <w:r w:rsidRPr="009549E4">
      <w:fldChar w:fldCharType="separate"/>
    </w:r>
    <w:r w:rsidRPr="009549E4">
      <w:rPr>
        <w:noProof/>
      </w:rPr>
      <w:t>2</w:t>
    </w:r>
    <w:r w:rsidRPr="009549E4">
      <w:fldChar w:fldCharType="end"/>
    </w:r>
    <w:r w:rsidRPr="009549E4">
      <w:t xml:space="preserve"> -</w:t>
    </w:r>
  </w:p>
  <w:p w14:paraId="278FF602" w14:textId="3B2325A5" w:rsidR="00EA4725" w:rsidRPr="009549E4" w:rsidRDefault="00EA4725" w:rsidP="009549E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90CEB" w14:textId="77777777" w:rsidR="009549E4" w:rsidRPr="009549E4" w:rsidRDefault="009E0B9F" w:rsidP="009549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49E4">
      <w:t>G/SPS/N/EU/646</w:t>
    </w:r>
  </w:p>
  <w:p w14:paraId="73FC8FBC" w14:textId="77777777" w:rsidR="009549E4" w:rsidRPr="009549E4" w:rsidRDefault="009549E4" w:rsidP="009549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ADB42D" w14:textId="3AE1656B" w:rsidR="009549E4" w:rsidRPr="009549E4" w:rsidRDefault="009E0B9F" w:rsidP="009549E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549E4">
      <w:t xml:space="preserve">- </w:t>
    </w:r>
    <w:r w:rsidRPr="009549E4">
      <w:fldChar w:fldCharType="begin"/>
    </w:r>
    <w:r w:rsidRPr="009549E4">
      <w:instrText xml:space="preserve"> PAGE </w:instrText>
    </w:r>
    <w:r w:rsidRPr="009549E4">
      <w:fldChar w:fldCharType="separate"/>
    </w:r>
    <w:r w:rsidRPr="009549E4">
      <w:rPr>
        <w:noProof/>
      </w:rPr>
      <w:t>2</w:t>
    </w:r>
    <w:r w:rsidRPr="009549E4">
      <w:fldChar w:fldCharType="end"/>
    </w:r>
    <w:r w:rsidRPr="009549E4">
      <w:t xml:space="preserve"> -</w:t>
    </w:r>
  </w:p>
  <w:p w14:paraId="5C934C85" w14:textId="48933038" w:rsidR="00EA4725" w:rsidRPr="009549E4" w:rsidRDefault="00EA4725" w:rsidP="009549E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620CE" w14:paraId="309244C4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46FBE5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DE4E0D5" w14:textId="1517A446" w:rsidR="00ED54E0" w:rsidRPr="00EA4725" w:rsidRDefault="009E0B9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C620CE" w14:paraId="2FC39B3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664D091" w14:textId="77777777" w:rsidR="00ED54E0" w:rsidRPr="00EA4725" w:rsidRDefault="002F7F17" w:rsidP="00422B6F">
          <w:pPr>
            <w:jc w:val="left"/>
          </w:pPr>
          <w:r>
            <w:rPr>
              <w:lang w:eastAsia="en-GB"/>
            </w:rPr>
            <w:pict w14:anchorId="455EF1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9pt;height:56.1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4A241D1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620CE" w14:paraId="0175723D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E262780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5464066" w14:textId="77777777" w:rsidR="009549E4" w:rsidRDefault="009E0B9F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G/SPS/N/EU/646</w:t>
          </w:r>
          <w:bookmarkEnd w:id="88"/>
        </w:p>
      </w:tc>
    </w:tr>
    <w:tr w:rsidR="00C620CE" w14:paraId="375A531C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AC453C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E8D5AF" w14:textId="77777777" w:rsidR="00ED54E0" w:rsidRPr="00EA4725" w:rsidRDefault="009E0B9F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28 June 2023</w:t>
          </w:r>
          <w:bookmarkEnd w:id="90"/>
        </w:p>
      </w:tc>
    </w:tr>
    <w:tr w:rsidR="00C620CE" w14:paraId="073F9F9C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3321AB" w14:textId="21AE2489" w:rsidR="00ED54E0" w:rsidRPr="00EA4725" w:rsidRDefault="009E0B9F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A355E7">
            <w:rPr>
              <w:color w:val="FF0000"/>
              <w:szCs w:val="16"/>
            </w:rPr>
            <w:t>23-</w:t>
          </w:r>
          <w:r w:rsidR="002F7F17">
            <w:rPr>
              <w:color w:val="FF0000"/>
              <w:szCs w:val="16"/>
            </w:rPr>
            <w:t>4419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79F59AB" w14:textId="77777777" w:rsidR="00ED54E0" w:rsidRPr="00EA4725" w:rsidRDefault="009E0B9F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C620CE" w14:paraId="4C78764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EDAD6C6" w14:textId="694EFB7B" w:rsidR="00ED54E0" w:rsidRPr="00EA4725" w:rsidRDefault="009E0B9F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C6E3F20" w14:textId="2A168474" w:rsidR="00ED54E0" w:rsidRPr="00441372" w:rsidRDefault="009E0B9F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445D8E5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2C32E8"/>
    <w:multiLevelType w:val="hybridMultilevel"/>
    <w:tmpl w:val="3D402748"/>
    <w:lvl w:ilvl="0" w:tplc="B25264B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966C27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6ECA9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C2EF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14A9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7C6B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0E9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BED9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AD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FAB0E70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EB618C4" w:tentative="1">
      <w:start w:val="1"/>
      <w:numFmt w:val="lowerLetter"/>
      <w:lvlText w:val="%2."/>
      <w:lvlJc w:val="left"/>
      <w:pPr>
        <w:ind w:left="1080" w:hanging="360"/>
      </w:pPr>
    </w:lvl>
    <w:lvl w:ilvl="2" w:tplc="671C3696" w:tentative="1">
      <w:start w:val="1"/>
      <w:numFmt w:val="lowerRoman"/>
      <w:lvlText w:val="%3."/>
      <w:lvlJc w:val="right"/>
      <w:pPr>
        <w:ind w:left="1800" w:hanging="180"/>
      </w:pPr>
    </w:lvl>
    <w:lvl w:ilvl="3" w:tplc="9E78CE6E" w:tentative="1">
      <w:start w:val="1"/>
      <w:numFmt w:val="decimal"/>
      <w:lvlText w:val="%4."/>
      <w:lvlJc w:val="left"/>
      <w:pPr>
        <w:ind w:left="2520" w:hanging="360"/>
      </w:pPr>
    </w:lvl>
    <w:lvl w:ilvl="4" w:tplc="E29C373C" w:tentative="1">
      <w:start w:val="1"/>
      <w:numFmt w:val="lowerLetter"/>
      <w:lvlText w:val="%5."/>
      <w:lvlJc w:val="left"/>
      <w:pPr>
        <w:ind w:left="3240" w:hanging="360"/>
      </w:pPr>
    </w:lvl>
    <w:lvl w:ilvl="5" w:tplc="4FAE4A96" w:tentative="1">
      <w:start w:val="1"/>
      <w:numFmt w:val="lowerRoman"/>
      <w:lvlText w:val="%6."/>
      <w:lvlJc w:val="right"/>
      <w:pPr>
        <w:ind w:left="3960" w:hanging="180"/>
      </w:pPr>
    </w:lvl>
    <w:lvl w:ilvl="6" w:tplc="AB94B6EE" w:tentative="1">
      <w:start w:val="1"/>
      <w:numFmt w:val="decimal"/>
      <w:lvlText w:val="%7."/>
      <w:lvlJc w:val="left"/>
      <w:pPr>
        <w:ind w:left="4680" w:hanging="360"/>
      </w:pPr>
    </w:lvl>
    <w:lvl w:ilvl="7" w:tplc="5B483EC4" w:tentative="1">
      <w:start w:val="1"/>
      <w:numFmt w:val="lowerLetter"/>
      <w:lvlText w:val="%8."/>
      <w:lvlJc w:val="left"/>
      <w:pPr>
        <w:ind w:left="5400" w:hanging="360"/>
      </w:pPr>
    </w:lvl>
    <w:lvl w:ilvl="8" w:tplc="4F9A2600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187402">
    <w:abstractNumId w:val="9"/>
  </w:num>
  <w:num w:numId="2" w16cid:durableId="1101922483">
    <w:abstractNumId w:val="7"/>
  </w:num>
  <w:num w:numId="3" w16cid:durableId="182715035">
    <w:abstractNumId w:val="6"/>
  </w:num>
  <w:num w:numId="4" w16cid:durableId="1461604362">
    <w:abstractNumId w:val="5"/>
  </w:num>
  <w:num w:numId="5" w16cid:durableId="290291028">
    <w:abstractNumId w:val="4"/>
  </w:num>
  <w:num w:numId="6" w16cid:durableId="1911848456">
    <w:abstractNumId w:val="13"/>
  </w:num>
  <w:num w:numId="7" w16cid:durableId="1083987466">
    <w:abstractNumId w:val="12"/>
  </w:num>
  <w:num w:numId="8" w16cid:durableId="1871264275">
    <w:abstractNumId w:val="11"/>
  </w:num>
  <w:num w:numId="9" w16cid:durableId="2811159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2533566">
    <w:abstractNumId w:val="14"/>
  </w:num>
  <w:num w:numId="11" w16cid:durableId="1671980585">
    <w:abstractNumId w:val="8"/>
  </w:num>
  <w:num w:numId="12" w16cid:durableId="1240553578">
    <w:abstractNumId w:val="3"/>
  </w:num>
  <w:num w:numId="13" w16cid:durableId="1466894023">
    <w:abstractNumId w:val="2"/>
  </w:num>
  <w:num w:numId="14" w16cid:durableId="1225605064">
    <w:abstractNumId w:val="1"/>
  </w:num>
  <w:num w:numId="15" w16cid:durableId="1943613279">
    <w:abstractNumId w:val="0"/>
  </w:num>
  <w:num w:numId="16" w16cid:durableId="8328382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2F7F17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549E4"/>
    <w:rsid w:val="009A2161"/>
    <w:rsid w:val="009A6F54"/>
    <w:rsid w:val="009E0B9F"/>
    <w:rsid w:val="00A355E7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AE791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20CE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B4E4C"/>
    <w:rsid w:val="00DD3BA1"/>
    <w:rsid w:val="00DE50DB"/>
    <w:rsid w:val="00DF6AE1"/>
    <w:rsid w:val="00E06B18"/>
    <w:rsid w:val="00E46FD5"/>
    <w:rsid w:val="00E544BB"/>
    <w:rsid w:val="00E56545"/>
    <w:rsid w:val="00E64A48"/>
    <w:rsid w:val="00E91516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699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954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EEC/23_10619_01_e.pdf" TargetMode="External"/><Relationship Id="rId13" Type="http://schemas.openxmlformats.org/officeDocument/2006/relationships/hyperlink" Target="mailto:sps@ec.europa.e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eur-lex.europa.eu/legal-content/EN/ALL/?uri=CELEX%3A32005R0396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o.org/fao-who-codexalimentarius/codex-texts/dbs/pestres/pesticides/en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members.wto.org/crnattachments/2023/SPS/EEC/23_10619_03_e.pdf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members.wto.org/crnattachments/2023/SPS/EEC/23_10619_02_e.pdf" TargetMode="External"/><Relationship Id="rId14" Type="http://schemas.openxmlformats.org/officeDocument/2006/relationships/hyperlink" Target="mailto:sps@ec.europa.eu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18607a83-b03b-4adf-ac23-9224ac09b557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11629D8-CCEE-48E1-AE9F-9B1B120D4A4D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763</Words>
  <Characters>4748</Characters>
  <Application>Microsoft Office Word</Application>
  <DocSecurity>0</DocSecurity>
  <Lines>107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2023-06-28T12:39:00Z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G/SPS/N/EU/646</vt:lpwstr>
  </property>
  <property fmtid="{D5CDD505-2E9C-101B-9397-08002B2CF9AE}" pid="3" name="TitusGUID">
    <vt:lpwstr>18607a83-b03b-4adf-ac23-9224ac09b557</vt:lpwstr>
  </property>
  <property fmtid="{D5CDD505-2E9C-101B-9397-08002B2CF9AE}" pid="4" name="WTOCLASSIFICATION">
    <vt:lpwstr>WTO OFFICIAL</vt:lpwstr>
  </property>
</Properties>
</file>