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25CD" w14:textId="77777777" w:rsidR="00326D34" w:rsidRPr="004D1783" w:rsidRDefault="008D5A23" w:rsidP="004D1783">
      <w:pPr>
        <w:pStyle w:val="Title"/>
        <w:rPr>
          <w:caps w:val="0"/>
          <w:kern w:val="0"/>
        </w:rPr>
      </w:pPr>
      <w:r w:rsidRPr="004D1783">
        <w:rPr>
          <w:caps w:val="0"/>
          <w:kern w:val="0"/>
        </w:rPr>
        <w:t>NOTIFICATION OF EMERGENCY MEASURES</w:t>
      </w:r>
    </w:p>
    <w:tbl>
      <w:tblPr>
        <w:tblW w:w="5000" w:type="pct"/>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724"/>
        <w:gridCol w:w="8518"/>
      </w:tblGrid>
      <w:tr w:rsidR="00D546A1" w14:paraId="1ED7BDFD" w14:textId="77777777" w:rsidTr="008D5A23">
        <w:tc>
          <w:tcPr>
            <w:tcW w:w="707" w:type="dxa"/>
            <w:shd w:val="clear" w:color="auto" w:fill="auto"/>
          </w:tcPr>
          <w:p w14:paraId="5CB0124C" w14:textId="77777777" w:rsidR="00326D34" w:rsidRPr="004D1783" w:rsidRDefault="008D5A23" w:rsidP="004D1783">
            <w:pPr>
              <w:spacing w:before="120" w:after="120"/>
            </w:pPr>
            <w:r w:rsidRPr="004D1783">
              <w:rPr>
                <w:b/>
              </w:rPr>
              <w:t>1.</w:t>
            </w:r>
          </w:p>
        </w:tc>
        <w:tc>
          <w:tcPr>
            <w:tcW w:w="8320" w:type="dxa"/>
            <w:shd w:val="clear" w:color="auto" w:fill="auto"/>
          </w:tcPr>
          <w:p w14:paraId="69BAD755" w14:textId="77777777" w:rsidR="00326D34" w:rsidRPr="004D1783" w:rsidRDefault="008D5A23" w:rsidP="008D5A23">
            <w:pPr>
              <w:spacing w:before="120" w:after="120"/>
              <w:jc w:val="left"/>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FE3BD08" w14:textId="77777777" w:rsidR="00326D34" w:rsidRPr="004D1783" w:rsidRDefault="008D5A23" w:rsidP="008D5A23">
            <w:pPr>
              <w:spacing w:after="120"/>
              <w:jc w:val="left"/>
            </w:pPr>
            <w:r w:rsidRPr="004D1783">
              <w:rPr>
                <w:b/>
              </w:rPr>
              <w:t>If applicable, name of local government involved:</w:t>
            </w:r>
            <w:r w:rsidRPr="00F778D1">
              <w:t xml:space="preserve"> </w:t>
            </w:r>
            <w:bookmarkStart w:id="1" w:name="sps1b"/>
            <w:bookmarkEnd w:id="1"/>
          </w:p>
        </w:tc>
      </w:tr>
      <w:tr w:rsidR="00D546A1" w14:paraId="219876A3" w14:textId="77777777" w:rsidTr="008D5A23">
        <w:tc>
          <w:tcPr>
            <w:tcW w:w="707" w:type="dxa"/>
            <w:shd w:val="clear" w:color="auto" w:fill="auto"/>
          </w:tcPr>
          <w:p w14:paraId="55A063D5" w14:textId="77777777" w:rsidR="00326D34" w:rsidRPr="004D1783" w:rsidRDefault="008D5A23" w:rsidP="004D1783">
            <w:pPr>
              <w:spacing w:before="120" w:after="120"/>
            </w:pPr>
            <w:r w:rsidRPr="004D1783">
              <w:rPr>
                <w:b/>
              </w:rPr>
              <w:t>2.</w:t>
            </w:r>
          </w:p>
        </w:tc>
        <w:tc>
          <w:tcPr>
            <w:tcW w:w="8320" w:type="dxa"/>
            <w:shd w:val="clear" w:color="auto" w:fill="auto"/>
          </w:tcPr>
          <w:p w14:paraId="0522C2D1" w14:textId="77777777" w:rsidR="00326D34" w:rsidRPr="004D1783" w:rsidRDefault="008D5A23" w:rsidP="008D5A23">
            <w:pPr>
              <w:spacing w:before="120" w:after="120"/>
              <w:jc w:val="left"/>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D546A1" w14:paraId="75B488E3" w14:textId="77777777" w:rsidTr="008D5A23">
        <w:tc>
          <w:tcPr>
            <w:tcW w:w="707" w:type="dxa"/>
            <w:shd w:val="clear" w:color="auto" w:fill="auto"/>
          </w:tcPr>
          <w:p w14:paraId="710C1338" w14:textId="77777777" w:rsidR="00326D34" w:rsidRPr="004D1783" w:rsidRDefault="008D5A23" w:rsidP="004D1783">
            <w:pPr>
              <w:spacing w:before="120" w:after="120"/>
            </w:pPr>
            <w:r w:rsidRPr="004D1783">
              <w:rPr>
                <w:b/>
              </w:rPr>
              <w:t>3.</w:t>
            </w:r>
          </w:p>
        </w:tc>
        <w:tc>
          <w:tcPr>
            <w:tcW w:w="8320" w:type="dxa"/>
            <w:shd w:val="clear" w:color="auto" w:fill="auto"/>
          </w:tcPr>
          <w:p w14:paraId="774A3A89" w14:textId="77777777" w:rsidR="00326D34" w:rsidRPr="004D1783" w:rsidRDefault="008D5A23" w:rsidP="008D5A23">
            <w:pPr>
              <w:spacing w:before="120" w:after="120"/>
              <w:jc w:val="left"/>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fluff and feathers, poultry meat, and all types of poultry products that have not undergone proper heat treatment, feed and feed additives for birds, excluding feed additives of chemical and microbiological synthesis, hunting trophies and used equipment for keeping, slaughtering, and butchering birds</w:t>
            </w:r>
            <w:bookmarkEnd w:id="3"/>
          </w:p>
        </w:tc>
      </w:tr>
      <w:tr w:rsidR="00D546A1" w14:paraId="65B8ED6D" w14:textId="77777777" w:rsidTr="008D5A23">
        <w:tc>
          <w:tcPr>
            <w:tcW w:w="707" w:type="dxa"/>
            <w:shd w:val="clear" w:color="auto" w:fill="auto"/>
          </w:tcPr>
          <w:p w14:paraId="29F454B1" w14:textId="77777777" w:rsidR="00326D34" w:rsidRPr="004D1783" w:rsidRDefault="008D5A23" w:rsidP="004D1783">
            <w:pPr>
              <w:spacing w:before="120" w:after="120"/>
              <w:rPr>
                <w:b/>
              </w:rPr>
            </w:pPr>
            <w:r w:rsidRPr="004D1783">
              <w:rPr>
                <w:b/>
              </w:rPr>
              <w:t>4.</w:t>
            </w:r>
          </w:p>
        </w:tc>
        <w:tc>
          <w:tcPr>
            <w:tcW w:w="8320" w:type="dxa"/>
            <w:shd w:val="clear" w:color="auto" w:fill="auto"/>
          </w:tcPr>
          <w:p w14:paraId="1D61D741" w14:textId="77777777" w:rsidR="00326D34" w:rsidRPr="004D1783" w:rsidRDefault="008D5A23" w:rsidP="008D5A23">
            <w:pPr>
              <w:spacing w:before="120" w:after="120"/>
              <w:jc w:val="left"/>
              <w:rPr>
                <w:b/>
                <w:bCs/>
              </w:rPr>
            </w:pPr>
            <w:r w:rsidRPr="004D1783">
              <w:rPr>
                <w:b/>
              </w:rPr>
              <w:t>Regions or countries likely to be affected, to the extent relevant or practicable</w:t>
            </w:r>
            <w:r w:rsidRPr="004D1783">
              <w:rPr>
                <w:b/>
                <w:bCs/>
              </w:rPr>
              <w:t>:</w:t>
            </w:r>
          </w:p>
          <w:p w14:paraId="4D8BA0FE" w14:textId="3C22CC22" w:rsidR="00326D34" w:rsidRPr="004D1783" w:rsidRDefault="008D5A23" w:rsidP="008D5A23">
            <w:pPr>
              <w:spacing w:after="120"/>
              <w:ind w:left="607" w:hanging="607"/>
              <w:jc w:val="left"/>
              <w:rPr>
                <w:b/>
              </w:rPr>
            </w:pPr>
            <w:proofErr w:type="gramStart"/>
            <w:r w:rsidRPr="004D1783">
              <w:rPr>
                <w:b/>
              </w:rPr>
              <w:t>[</w:t>
            </w:r>
            <w:bookmarkStart w:id="4" w:name="sps4b"/>
            <w:r w:rsidRPr="004D1783">
              <w:rPr>
                <w:b/>
              </w:rPr>
              <w:t> </w:t>
            </w:r>
            <w:bookmarkEnd w:id="4"/>
            <w:r>
              <w:rPr>
                <w:b/>
              </w:rPr>
              <w:t> </w:t>
            </w:r>
            <w:r w:rsidRPr="004D1783">
              <w:rPr>
                <w:b/>
              </w:rPr>
              <w:t>]</w:t>
            </w:r>
            <w:proofErr w:type="gramEnd"/>
            <w:r w:rsidRPr="004D1783">
              <w:rPr>
                <w:b/>
              </w:rPr>
              <w:tab/>
              <w:t>All trading partners</w:t>
            </w:r>
            <w:r w:rsidRPr="00C902EF">
              <w:t xml:space="preserve"> </w:t>
            </w:r>
            <w:bookmarkStart w:id="5" w:name="sps4bbis"/>
            <w:bookmarkEnd w:id="5"/>
          </w:p>
          <w:p w14:paraId="00AC1BF3" w14:textId="52DBA92C" w:rsidR="00326D34" w:rsidRPr="004D1783" w:rsidRDefault="008D5A23" w:rsidP="008D5A23">
            <w:pPr>
              <w:spacing w:after="120"/>
              <w:ind w:left="607" w:hanging="607"/>
              <w:jc w:val="left"/>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t>M</w:t>
            </w:r>
            <w:r w:rsidRPr="00097200">
              <w:t xml:space="preserve">unicipalities of </w:t>
            </w:r>
            <w:proofErr w:type="spellStart"/>
            <w:r w:rsidRPr="00097200">
              <w:t>Varde</w:t>
            </w:r>
            <w:proofErr w:type="spellEnd"/>
            <w:r w:rsidRPr="00097200">
              <w:t xml:space="preserve"> and </w:t>
            </w:r>
            <w:proofErr w:type="spellStart"/>
            <w:r w:rsidRPr="00097200">
              <w:t>Vordingborg</w:t>
            </w:r>
            <w:proofErr w:type="spellEnd"/>
            <w:r w:rsidRPr="00097200">
              <w:t xml:space="preserve"> in Denmark</w:t>
            </w:r>
            <w:bookmarkEnd w:id="7"/>
          </w:p>
        </w:tc>
      </w:tr>
      <w:tr w:rsidR="00D546A1" w14:paraId="1A3A416A" w14:textId="77777777" w:rsidTr="008D5A23">
        <w:tc>
          <w:tcPr>
            <w:tcW w:w="707" w:type="dxa"/>
            <w:shd w:val="clear" w:color="auto" w:fill="auto"/>
          </w:tcPr>
          <w:p w14:paraId="027958A0" w14:textId="77777777" w:rsidR="00326D34" w:rsidRPr="004D1783" w:rsidRDefault="008D5A23" w:rsidP="004D1783">
            <w:pPr>
              <w:spacing w:before="120" w:after="120"/>
            </w:pPr>
            <w:r w:rsidRPr="004D1783">
              <w:rPr>
                <w:b/>
              </w:rPr>
              <w:t>5.</w:t>
            </w:r>
          </w:p>
        </w:tc>
        <w:tc>
          <w:tcPr>
            <w:tcW w:w="8320" w:type="dxa"/>
            <w:shd w:val="clear" w:color="auto" w:fill="auto"/>
          </w:tcPr>
          <w:p w14:paraId="0449B1E5" w14:textId="49958F33" w:rsidR="00326D34" w:rsidRPr="004D1783" w:rsidRDefault="008D5A23" w:rsidP="008D5A23">
            <w:pPr>
              <w:spacing w:before="120" w:after="120"/>
              <w:jc w:val="left"/>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 and transit to the territory of the Republic of Kazakhstan </w:t>
            </w:r>
            <w:r w:rsidR="00440ED9">
              <w:t>from the m</w:t>
            </w:r>
            <w:r w:rsidR="00440ED9" w:rsidRPr="00097200">
              <w:t xml:space="preserve">unicipalities of </w:t>
            </w:r>
            <w:proofErr w:type="spellStart"/>
            <w:r w:rsidR="00440ED9" w:rsidRPr="00097200">
              <w:t>Varde</w:t>
            </w:r>
            <w:proofErr w:type="spellEnd"/>
            <w:r w:rsidR="00440ED9" w:rsidRPr="00097200">
              <w:t xml:space="preserve"> and </w:t>
            </w:r>
            <w:proofErr w:type="spellStart"/>
            <w:r w:rsidR="00440ED9" w:rsidRPr="00097200">
              <w:t>Vordingborg</w:t>
            </w:r>
            <w:proofErr w:type="spellEnd"/>
            <w:r w:rsidR="00440ED9" w:rsidRPr="00097200">
              <w:t xml:space="preserve"> in Denmark</w:t>
            </w:r>
            <w:r w:rsidR="00440ED9">
              <w:t xml:space="preserve"> of </w:t>
            </w:r>
            <w:r w:rsidRPr="008F3F4B">
              <w:t>live poultry and hatching eggs, fluff and feathers, poultry meat, and all types of poultry products that have not undergone proper heat treatment, feed and feed additives for birds, excluding feed additives of chemical and microbiological synthesis, hunting trophies and used equipment for keeping, slaughtering, and butchering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D546A1" w14:paraId="2207FB16" w14:textId="77777777" w:rsidTr="008D5A23">
        <w:tc>
          <w:tcPr>
            <w:tcW w:w="707" w:type="dxa"/>
            <w:tcBorders>
              <w:bottom w:val="single" w:sz="4" w:space="0" w:color="auto"/>
            </w:tcBorders>
            <w:shd w:val="clear" w:color="auto" w:fill="auto"/>
          </w:tcPr>
          <w:p w14:paraId="47EC31DA" w14:textId="77777777" w:rsidR="00326D34" w:rsidRPr="004D1783" w:rsidRDefault="008D5A23" w:rsidP="004D1783">
            <w:pPr>
              <w:spacing w:before="120" w:after="120"/>
            </w:pPr>
            <w:r w:rsidRPr="004D1783">
              <w:rPr>
                <w:b/>
              </w:rPr>
              <w:t>6.</w:t>
            </w:r>
          </w:p>
        </w:tc>
        <w:tc>
          <w:tcPr>
            <w:tcW w:w="8320" w:type="dxa"/>
            <w:tcBorders>
              <w:bottom w:val="single" w:sz="4" w:space="0" w:color="auto"/>
            </w:tcBorders>
            <w:shd w:val="clear" w:color="auto" w:fill="auto"/>
          </w:tcPr>
          <w:p w14:paraId="4B41452F" w14:textId="21E5A0E5" w:rsidR="00326D34" w:rsidRPr="004D1783" w:rsidRDefault="008D5A23" w:rsidP="008D5A23">
            <w:pPr>
              <w:spacing w:before="120" w:after="120"/>
              <w:jc w:val="left"/>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based on official information from the World Organization for Animal Health (WAHIS), has implemented temporary restrictions, effective from 22 November 2023. These restrictions apply to the import of highly pathogenic avian influenza virus and related products from the municipalities of </w:t>
            </w:r>
            <w:proofErr w:type="spellStart"/>
            <w:r w:rsidRPr="00097200">
              <w:t>Varde</w:t>
            </w:r>
            <w:proofErr w:type="spellEnd"/>
            <w:r w:rsidRPr="00097200">
              <w:t xml:space="preserve"> and </w:t>
            </w:r>
            <w:proofErr w:type="spellStart"/>
            <w:r w:rsidRPr="00097200">
              <w:t>Vordingborg</w:t>
            </w:r>
            <w:proofErr w:type="spellEnd"/>
            <w:r w:rsidRPr="00097200">
              <w:t xml:space="preserve"> in Denmark. The restricted items include live poultry and hatching eggs, fluff and feathers, poultry meat, and all types of poultry products that have not undergone proper heat treatment (at least 70 °C). It also includes feed and feed additives for birds, excluding feed additives of chemical and microbiological synthesis. Furthermore, hunting trophies, such as feathered games, and used equipment for keeping, slaughtering, and butchering birds are prohibited. Additionally, the transit of live birds from the above-mentioned territories through Kazakhstan is not permitted. However, for goods shipped before 22 November 2023, the decision regarding their admission should follow the usual procedure.</w:t>
            </w:r>
            <w:bookmarkEnd w:id="12"/>
          </w:p>
        </w:tc>
      </w:tr>
      <w:tr w:rsidR="00D546A1" w14:paraId="43E37729" w14:textId="77777777" w:rsidTr="008D5A23">
        <w:tc>
          <w:tcPr>
            <w:tcW w:w="707" w:type="dxa"/>
            <w:tcBorders>
              <w:top w:val="single" w:sz="4" w:space="0" w:color="auto"/>
              <w:bottom w:val="single" w:sz="4" w:space="0" w:color="auto"/>
            </w:tcBorders>
            <w:shd w:val="clear" w:color="auto" w:fill="auto"/>
          </w:tcPr>
          <w:p w14:paraId="27383AC2" w14:textId="77777777" w:rsidR="00326D34" w:rsidRPr="004D1783" w:rsidRDefault="008D5A23" w:rsidP="004D1783">
            <w:pPr>
              <w:spacing w:before="120" w:after="120"/>
            </w:pPr>
            <w:r w:rsidRPr="004D1783">
              <w:rPr>
                <w:b/>
              </w:rPr>
              <w:t>7.</w:t>
            </w:r>
          </w:p>
        </w:tc>
        <w:tc>
          <w:tcPr>
            <w:tcW w:w="8320" w:type="dxa"/>
            <w:tcBorders>
              <w:top w:val="single" w:sz="4" w:space="0" w:color="auto"/>
              <w:bottom w:val="single" w:sz="4" w:space="0" w:color="auto"/>
            </w:tcBorders>
            <w:shd w:val="clear" w:color="auto" w:fill="auto"/>
          </w:tcPr>
          <w:p w14:paraId="3332EE0F" w14:textId="2E320A0D" w:rsidR="00326D34" w:rsidRPr="004D1783" w:rsidRDefault="008D5A23" w:rsidP="008D5A23">
            <w:pPr>
              <w:spacing w:before="120" w:after="120"/>
              <w:jc w:val="left"/>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Pr>
                <w:b/>
              </w:rPr>
              <w:t> </w:t>
            </w:r>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Pr>
                <w:b/>
              </w:rPr>
              <w:t> </w:t>
            </w:r>
            <w:r w:rsidRPr="004D1783">
              <w:rPr>
                <w:b/>
              </w:rPr>
              <w:t>] protect territory from other damage from pests.</w:t>
            </w:r>
            <w:r w:rsidRPr="00622035">
              <w:rPr>
                <w:bCs/>
              </w:rPr>
              <w:t xml:space="preserve"> </w:t>
            </w:r>
            <w:bookmarkStart w:id="18" w:name="sps7f"/>
            <w:bookmarkEnd w:id="18"/>
          </w:p>
        </w:tc>
      </w:tr>
      <w:tr w:rsidR="00D546A1" w14:paraId="5D91F6C1" w14:textId="77777777" w:rsidTr="008D5A23">
        <w:tc>
          <w:tcPr>
            <w:tcW w:w="707" w:type="dxa"/>
            <w:tcBorders>
              <w:top w:val="single" w:sz="4" w:space="0" w:color="auto"/>
            </w:tcBorders>
            <w:shd w:val="clear" w:color="auto" w:fill="auto"/>
          </w:tcPr>
          <w:p w14:paraId="085F4534" w14:textId="77777777" w:rsidR="00326D34" w:rsidRPr="004D1783" w:rsidRDefault="008D5A23" w:rsidP="004D1783">
            <w:pPr>
              <w:spacing w:before="120" w:after="120"/>
            </w:pPr>
            <w:r w:rsidRPr="004D1783">
              <w:rPr>
                <w:b/>
              </w:rPr>
              <w:lastRenderedPageBreak/>
              <w:t>8.</w:t>
            </w:r>
          </w:p>
        </w:tc>
        <w:tc>
          <w:tcPr>
            <w:tcW w:w="8320" w:type="dxa"/>
            <w:tcBorders>
              <w:top w:val="single" w:sz="4" w:space="0" w:color="auto"/>
            </w:tcBorders>
            <w:shd w:val="clear" w:color="auto" w:fill="auto"/>
          </w:tcPr>
          <w:p w14:paraId="49EE7F2E" w14:textId="77777777" w:rsidR="00326D34" w:rsidRPr="004D1783" w:rsidRDefault="008D5A23" w:rsidP="008D5A23">
            <w:pPr>
              <w:spacing w:before="120" w:after="120"/>
              <w:jc w:val="left"/>
            </w:pPr>
            <w:r w:rsidRPr="004D1783">
              <w:rPr>
                <w:b/>
              </w:rPr>
              <w:t>Nature of the urgent problem(s) and reason for urgent action:</w:t>
            </w:r>
            <w:r w:rsidRPr="00786DCE">
              <w:t xml:space="preserve"> </w:t>
            </w:r>
            <w:bookmarkStart w:id="19" w:name="sps8a"/>
            <w:r w:rsidRPr="00786DCE">
              <w:t>Due to the highly pathogenic avian influenza virus.</w:t>
            </w:r>
            <w:bookmarkEnd w:id="19"/>
          </w:p>
        </w:tc>
      </w:tr>
      <w:tr w:rsidR="00D546A1" w14:paraId="3E21C990" w14:textId="77777777" w:rsidTr="008D5A23">
        <w:tc>
          <w:tcPr>
            <w:tcW w:w="707" w:type="dxa"/>
            <w:shd w:val="clear" w:color="auto" w:fill="auto"/>
          </w:tcPr>
          <w:p w14:paraId="43B42B4C" w14:textId="77777777" w:rsidR="00326D34" w:rsidRPr="004D1783" w:rsidRDefault="008D5A23" w:rsidP="004D1783">
            <w:pPr>
              <w:spacing w:before="120" w:after="120"/>
            </w:pPr>
            <w:r w:rsidRPr="004D1783">
              <w:rPr>
                <w:b/>
              </w:rPr>
              <w:t>9.</w:t>
            </w:r>
          </w:p>
        </w:tc>
        <w:tc>
          <w:tcPr>
            <w:tcW w:w="8320" w:type="dxa"/>
            <w:shd w:val="clear" w:color="auto" w:fill="auto"/>
          </w:tcPr>
          <w:p w14:paraId="71EDCCA3" w14:textId="77777777" w:rsidR="00326D34" w:rsidRPr="004D1783" w:rsidRDefault="008D5A23" w:rsidP="008D5A23">
            <w:pPr>
              <w:spacing w:before="120" w:after="120"/>
              <w:jc w:val="left"/>
              <w:rPr>
                <w:b/>
              </w:rPr>
            </w:pPr>
            <w:r w:rsidRPr="004D1783">
              <w:rPr>
                <w:b/>
              </w:rPr>
              <w:t xml:space="preserve">Is there a relevant international standard? If so, identify the standard: </w:t>
            </w:r>
          </w:p>
          <w:p w14:paraId="4AD074BD" w14:textId="59576D8A" w:rsidR="00326D34" w:rsidRPr="004D1783" w:rsidRDefault="008D5A23" w:rsidP="008D5A23">
            <w:pPr>
              <w:spacing w:after="120"/>
              <w:ind w:left="720" w:hanging="720"/>
              <w:jc w:val="left"/>
            </w:pPr>
            <w:proofErr w:type="gramStart"/>
            <w:r w:rsidRPr="004D1783">
              <w:rPr>
                <w:b/>
              </w:rPr>
              <w:t>[</w:t>
            </w:r>
            <w:bookmarkStart w:id="20" w:name="sps9a"/>
            <w:r w:rsidRPr="004D1783">
              <w:rPr>
                <w:b/>
              </w:rPr>
              <w:t> </w:t>
            </w:r>
            <w:bookmarkEnd w:id="20"/>
            <w:r>
              <w:rPr>
                <w:b/>
              </w:rPr>
              <w:t> </w:t>
            </w:r>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A1B4350" w14:textId="77777777" w:rsidR="00326D34" w:rsidRPr="004D1783" w:rsidRDefault="008D5A23" w:rsidP="008D5A23">
            <w:pPr>
              <w:spacing w:after="120"/>
              <w:ind w:left="720" w:hanging="720"/>
              <w:jc w:val="left"/>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42F226EF" w14:textId="1D641CE6" w:rsidR="00326D34" w:rsidRPr="004D1783" w:rsidRDefault="008D5A23" w:rsidP="008D5A23">
            <w:pPr>
              <w:spacing w:after="120"/>
              <w:ind w:left="720" w:hanging="720"/>
              <w:jc w:val="left"/>
            </w:pPr>
            <w:proofErr w:type="gramStart"/>
            <w:r w:rsidRPr="004D1783">
              <w:rPr>
                <w:b/>
              </w:rPr>
              <w:t>[</w:t>
            </w:r>
            <w:bookmarkStart w:id="24" w:name="sps9c"/>
            <w:r w:rsidRPr="004D1783">
              <w:rPr>
                <w:b/>
              </w:rPr>
              <w:t> </w:t>
            </w:r>
            <w:bookmarkEnd w:id="24"/>
            <w:r>
              <w:rPr>
                <w:b/>
              </w:rPr>
              <w:t> </w:t>
            </w:r>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ECC749E" w14:textId="24B574A1" w:rsidR="00326D34" w:rsidRPr="004D1783" w:rsidRDefault="008D5A23" w:rsidP="008D5A23">
            <w:pPr>
              <w:spacing w:after="120"/>
              <w:ind w:left="720" w:hanging="720"/>
              <w:jc w:val="left"/>
              <w:rPr>
                <w:b/>
              </w:rPr>
            </w:pPr>
            <w:proofErr w:type="gramStart"/>
            <w:r w:rsidRPr="004D1783">
              <w:rPr>
                <w:b/>
              </w:rPr>
              <w:t>[</w:t>
            </w:r>
            <w:bookmarkStart w:id="26" w:name="sps9d"/>
            <w:r w:rsidRPr="004D1783">
              <w:rPr>
                <w:b/>
              </w:rPr>
              <w:t> </w:t>
            </w:r>
            <w:bookmarkEnd w:id="26"/>
            <w:r>
              <w:rPr>
                <w:b/>
              </w:rPr>
              <w:t> </w:t>
            </w:r>
            <w:r w:rsidRPr="004D1783">
              <w:rPr>
                <w:b/>
              </w:rPr>
              <w:t>]</w:t>
            </w:r>
            <w:proofErr w:type="gramEnd"/>
            <w:r w:rsidRPr="004D1783">
              <w:rPr>
                <w:b/>
              </w:rPr>
              <w:tab/>
              <w:t>None</w:t>
            </w:r>
          </w:p>
          <w:p w14:paraId="64A2AA69" w14:textId="77777777" w:rsidR="00326D34" w:rsidRPr="004D1783" w:rsidRDefault="008D5A23" w:rsidP="008D5A23">
            <w:pPr>
              <w:spacing w:after="120"/>
              <w:jc w:val="left"/>
              <w:rPr>
                <w:b/>
              </w:rPr>
            </w:pPr>
            <w:r w:rsidRPr="004D1783">
              <w:rPr>
                <w:b/>
              </w:rPr>
              <w:t>Does this proposed regulation conform to the relevant international standard?</w:t>
            </w:r>
          </w:p>
          <w:p w14:paraId="4F707641" w14:textId="60480C7E" w:rsidR="00326D34" w:rsidRPr="004D1783" w:rsidRDefault="008D5A23" w:rsidP="008D5A23">
            <w:pPr>
              <w:spacing w:after="120"/>
              <w:jc w:val="left"/>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Pr>
                <w:b/>
              </w:rPr>
              <w:t> </w:t>
            </w:r>
            <w:r w:rsidRPr="004D1783">
              <w:rPr>
                <w:b/>
              </w:rPr>
              <w:t>] No</w:t>
            </w:r>
          </w:p>
          <w:p w14:paraId="28757BF9" w14:textId="77777777" w:rsidR="00326D34" w:rsidRPr="004D1783" w:rsidRDefault="008D5A23" w:rsidP="008D5A23">
            <w:pPr>
              <w:spacing w:after="120"/>
              <w:jc w:val="left"/>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D546A1" w14:paraId="73A40F80" w14:textId="77777777" w:rsidTr="008D5A23">
        <w:tc>
          <w:tcPr>
            <w:tcW w:w="707" w:type="dxa"/>
            <w:shd w:val="clear" w:color="auto" w:fill="auto"/>
          </w:tcPr>
          <w:p w14:paraId="313E6571" w14:textId="77777777" w:rsidR="00326D34" w:rsidRPr="004D1783" w:rsidRDefault="008D5A23" w:rsidP="004D1783">
            <w:pPr>
              <w:spacing w:before="120" w:after="120"/>
            </w:pPr>
            <w:r w:rsidRPr="004D1783">
              <w:rPr>
                <w:b/>
              </w:rPr>
              <w:t>10.</w:t>
            </w:r>
          </w:p>
        </w:tc>
        <w:tc>
          <w:tcPr>
            <w:tcW w:w="8320" w:type="dxa"/>
            <w:shd w:val="clear" w:color="auto" w:fill="auto"/>
          </w:tcPr>
          <w:p w14:paraId="41C66882" w14:textId="77777777" w:rsidR="00326D34" w:rsidRPr="004D1783" w:rsidRDefault="008D5A23" w:rsidP="008D5A23">
            <w:pPr>
              <w:spacing w:before="120" w:after="120"/>
              <w:jc w:val="left"/>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546A1" w14:paraId="1232E48E" w14:textId="77777777" w:rsidTr="008D5A23">
        <w:tc>
          <w:tcPr>
            <w:tcW w:w="707" w:type="dxa"/>
            <w:shd w:val="clear" w:color="auto" w:fill="auto"/>
          </w:tcPr>
          <w:p w14:paraId="77F39E41" w14:textId="77777777" w:rsidR="00326D34" w:rsidRPr="004D1783" w:rsidRDefault="008D5A23" w:rsidP="004D1783">
            <w:pPr>
              <w:spacing w:before="120" w:after="120"/>
            </w:pPr>
            <w:r w:rsidRPr="004D1783">
              <w:rPr>
                <w:b/>
              </w:rPr>
              <w:t>11.</w:t>
            </w:r>
          </w:p>
        </w:tc>
        <w:tc>
          <w:tcPr>
            <w:tcW w:w="8320" w:type="dxa"/>
            <w:shd w:val="clear" w:color="auto" w:fill="auto"/>
          </w:tcPr>
          <w:p w14:paraId="580B0E16" w14:textId="77777777" w:rsidR="00326D34" w:rsidRPr="004D1783" w:rsidRDefault="008D5A23" w:rsidP="008D5A23">
            <w:pPr>
              <w:spacing w:before="120" w:after="120"/>
              <w:jc w:val="left"/>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22</w:t>
            </w:r>
            <w:r w:rsidR="00BF7D25">
              <w:t> </w:t>
            </w:r>
            <w:r w:rsidRPr="00EC5D60">
              <w:t>November 2023</w:t>
            </w:r>
            <w:bookmarkEnd w:id="32"/>
          </w:p>
          <w:p w14:paraId="3B28402D" w14:textId="7DDBBE29" w:rsidR="00326D34" w:rsidRPr="004D1783" w:rsidRDefault="008D5A23" w:rsidP="008D5A23">
            <w:pPr>
              <w:spacing w:after="120"/>
              <w:ind w:left="607" w:hanging="607"/>
              <w:jc w:val="left"/>
            </w:pPr>
            <w:proofErr w:type="gramStart"/>
            <w:r w:rsidRPr="004D1783">
              <w:rPr>
                <w:b/>
              </w:rPr>
              <w:t>[</w:t>
            </w:r>
            <w:bookmarkStart w:id="33" w:name="sps11e"/>
            <w:r w:rsidRPr="004D1783">
              <w:rPr>
                <w:b/>
              </w:rPr>
              <w:t> </w:t>
            </w:r>
            <w:bookmarkEnd w:id="33"/>
            <w:r>
              <w:rPr>
                <w:b/>
              </w:rPr>
              <w:t> </w:t>
            </w:r>
            <w:r w:rsidRPr="004D1783">
              <w:rPr>
                <w:b/>
              </w:rPr>
              <w:t>]</w:t>
            </w:r>
            <w:proofErr w:type="gramEnd"/>
            <w:r w:rsidRPr="004D1783">
              <w:rPr>
                <w:b/>
              </w:rPr>
              <w:tab/>
              <w:t>Trade facilitating measure</w:t>
            </w:r>
            <w:r w:rsidRPr="00EC5D60">
              <w:t xml:space="preserve"> </w:t>
            </w:r>
            <w:bookmarkStart w:id="34" w:name="sps11ebis"/>
            <w:bookmarkEnd w:id="34"/>
          </w:p>
        </w:tc>
      </w:tr>
      <w:tr w:rsidR="00D546A1" w14:paraId="4BB29896" w14:textId="77777777" w:rsidTr="008D5A23">
        <w:tc>
          <w:tcPr>
            <w:tcW w:w="707" w:type="dxa"/>
            <w:shd w:val="clear" w:color="auto" w:fill="auto"/>
          </w:tcPr>
          <w:p w14:paraId="4576C5C5" w14:textId="77777777" w:rsidR="00326D34" w:rsidRPr="004D1783" w:rsidRDefault="008D5A23" w:rsidP="004D1783">
            <w:pPr>
              <w:spacing w:before="120" w:after="120"/>
            </w:pPr>
            <w:r w:rsidRPr="004D1783">
              <w:rPr>
                <w:b/>
              </w:rPr>
              <w:t>12.</w:t>
            </w:r>
          </w:p>
        </w:tc>
        <w:tc>
          <w:tcPr>
            <w:tcW w:w="8320" w:type="dxa"/>
            <w:shd w:val="clear" w:color="auto" w:fill="auto"/>
          </w:tcPr>
          <w:p w14:paraId="788DFA85" w14:textId="77777777" w:rsidR="00326D34" w:rsidRPr="004D1783" w:rsidRDefault="008D5A23" w:rsidP="008D5A23">
            <w:pPr>
              <w:spacing w:before="120" w:after="120"/>
              <w:jc w:val="left"/>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9D0A5FE" w14:textId="77777777" w:rsidR="00E77D04" w:rsidRPr="00EC5D60" w:rsidRDefault="008D5A23" w:rsidP="008D5A23">
            <w:pPr>
              <w:jc w:val="left"/>
            </w:pPr>
            <w:r w:rsidRPr="00EC5D60">
              <w:t>Ministry of Trade and Integration of the Republic of Kazakhstan</w:t>
            </w:r>
          </w:p>
          <w:p w14:paraId="547CEDD8" w14:textId="77777777" w:rsidR="00E77D04" w:rsidRPr="00EC5D60" w:rsidRDefault="008D5A23" w:rsidP="008D5A23">
            <w:pPr>
              <w:jc w:val="left"/>
            </w:pPr>
            <w:r w:rsidRPr="00EC5D60">
              <w:t>Department for Foreign Trade Activity</w:t>
            </w:r>
          </w:p>
          <w:p w14:paraId="57BD58F3" w14:textId="77777777" w:rsidR="00E77D04" w:rsidRPr="00EC5D60" w:rsidRDefault="008D5A23" w:rsidP="008D5A23">
            <w:pPr>
              <w:jc w:val="left"/>
            </w:pPr>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160A482F" w14:textId="77777777" w:rsidR="00E77D04" w:rsidRPr="00EC5D60" w:rsidRDefault="008D5A23" w:rsidP="008D5A23">
            <w:pPr>
              <w:jc w:val="left"/>
            </w:pPr>
            <w:r w:rsidRPr="00EC5D60">
              <w:t>Astana, Republic of Kazakhstan, 010000</w:t>
            </w:r>
          </w:p>
          <w:p w14:paraId="237FE7C0" w14:textId="77777777" w:rsidR="00E77D04" w:rsidRPr="00EC5D60" w:rsidRDefault="008D5A23" w:rsidP="008D5A23">
            <w:pPr>
              <w:tabs>
                <w:tab w:val="left" w:pos="414"/>
              </w:tabs>
              <w:jc w:val="left"/>
            </w:pPr>
            <w:r w:rsidRPr="00EC5D60">
              <w:t>Tel</w:t>
            </w:r>
            <w:r w:rsidR="00BF7D25">
              <w:t>:</w:t>
            </w:r>
            <w:r w:rsidR="00BF7D25">
              <w:tab/>
            </w:r>
            <w:r w:rsidRPr="00EC5D60">
              <w:t>+(7) 7172 743 761</w:t>
            </w:r>
          </w:p>
          <w:p w14:paraId="7CEA7ED2" w14:textId="77777777" w:rsidR="00E77D04" w:rsidRPr="00EC5D60" w:rsidRDefault="008D5A23" w:rsidP="008D5A23">
            <w:pPr>
              <w:tabs>
                <w:tab w:val="left" w:pos="414"/>
              </w:tabs>
              <w:jc w:val="left"/>
            </w:pPr>
            <w:r>
              <w:tab/>
            </w:r>
            <w:r w:rsidR="001B4B63" w:rsidRPr="00EC5D60">
              <w:t>+(7) 7172 768 602</w:t>
            </w:r>
          </w:p>
          <w:p w14:paraId="4B1048D5" w14:textId="77777777" w:rsidR="00E77D04" w:rsidRPr="00EC5D60" w:rsidRDefault="008D5A23" w:rsidP="008D5A23">
            <w:pPr>
              <w:jc w:val="left"/>
            </w:pPr>
            <w:r w:rsidRPr="00EC5D60">
              <w:t>Fax: +(7) 7172 768 804</w:t>
            </w:r>
          </w:p>
          <w:p w14:paraId="4AC6E7AC" w14:textId="77777777" w:rsidR="00E77D04" w:rsidRPr="00EC5D60" w:rsidRDefault="008D5A23" w:rsidP="008D5A23">
            <w:pPr>
              <w:spacing w:after="120"/>
              <w:jc w:val="left"/>
            </w:pPr>
            <w:r w:rsidRPr="00EC5D60">
              <w:t xml:space="preserve">E-mail: </w:t>
            </w:r>
            <w:hyperlink r:id="rId8" w:history="1">
              <w:r w:rsidRPr="00EC5D60">
                <w:rPr>
                  <w:color w:val="0000FF"/>
                  <w:u w:val="single"/>
                </w:rPr>
                <w:t>wto.kaz.ntf@gmail.com</w:t>
              </w:r>
            </w:hyperlink>
            <w:bookmarkEnd w:id="37"/>
          </w:p>
        </w:tc>
      </w:tr>
      <w:tr w:rsidR="00D546A1" w14:paraId="324484CA" w14:textId="77777777" w:rsidTr="008D5A23">
        <w:tc>
          <w:tcPr>
            <w:tcW w:w="707" w:type="dxa"/>
            <w:shd w:val="clear" w:color="auto" w:fill="auto"/>
          </w:tcPr>
          <w:p w14:paraId="1D9489F0" w14:textId="77777777" w:rsidR="00326D34" w:rsidRPr="004D1783" w:rsidRDefault="008D5A23" w:rsidP="008D5A23">
            <w:pPr>
              <w:keepNext/>
              <w:keepLines/>
              <w:spacing w:before="120" w:after="120"/>
              <w:jc w:val="left"/>
              <w:rPr>
                <w:b/>
              </w:rPr>
            </w:pPr>
            <w:r w:rsidRPr="004D1783">
              <w:rPr>
                <w:b/>
              </w:rPr>
              <w:t>13.</w:t>
            </w:r>
          </w:p>
        </w:tc>
        <w:tc>
          <w:tcPr>
            <w:tcW w:w="8320" w:type="dxa"/>
            <w:shd w:val="clear" w:color="auto" w:fill="auto"/>
          </w:tcPr>
          <w:p w14:paraId="667C6EB0" w14:textId="77777777" w:rsidR="00326D34" w:rsidRPr="004D1783" w:rsidRDefault="008D5A23" w:rsidP="008D5A23">
            <w:pPr>
              <w:keepNext/>
              <w:keepLines/>
              <w:spacing w:before="120" w:after="120"/>
              <w:jc w:val="left"/>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EAF401C" w14:textId="77777777" w:rsidR="00326D34" w:rsidRPr="00EC5D60" w:rsidRDefault="008D5A23" w:rsidP="008D5A23">
            <w:pPr>
              <w:keepNext/>
              <w:keepLines/>
              <w:jc w:val="left"/>
              <w:rPr>
                <w:bCs/>
              </w:rPr>
            </w:pPr>
            <w:r w:rsidRPr="00EC5D60">
              <w:rPr>
                <w:bCs/>
              </w:rPr>
              <w:t>Ministry of Trade and Integration of the Republic of Kazakhstan</w:t>
            </w:r>
          </w:p>
          <w:p w14:paraId="343B5AC6" w14:textId="77777777" w:rsidR="00326D34" w:rsidRPr="00EC5D60" w:rsidRDefault="008D5A23" w:rsidP="008D5A23">
            <w:pPr>
              <w:keepNext/>
              <w:keepLines/>
              <w:jc w:val="left"/>
              <w:rPr>
                <w:bCs/>
              </w:rPr>
            </w:pPr>
            <w:r w:rsidRPr="00EC5D60">
              <w:rPr>
                <w:bCs/>
              </w:rPr>
              <w:t>Department for Foreign Trade Activity</w:t>
            </w:r>
          </w:p>
          <w:p w14:paraId="64162748" w14:textId="77777777" w:rsidR="00326D34" w:rsidRPr="00EC5D60" w:rsidRDefault="008D5A23" w:rsidP="008D5A23">
            <w:pPr>
              <w:keepNext/>
              <w:keepLines/>
              <w:jc w:val="left"/>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0EDEEB1" w14:textId="77777777" w:rsidR="00326D34" w:rsidRPr="00EC5D60" w:rsidRDefault="008D5A23" w:rsidP="008D5A23">
            <w:pPr>
              <w:keepNext/>
              <w:keepLines/>
              <w:jc w:val="left"/>
              <w:rPr>
                <w:bCs/>
              </w:rPr>
            </w:pPr>
            <w:r w:rsidRPr="00EC5D60">
              <w:rPr>
                <w:bCs/>
              </w:rPr>
              <w:t>Astana, Republic of Kazakhstan, 010000</w:t>
            </w:r>
          </w:p>
          <w:p w14:paraId="02EAC79C" w14:textId="77777777" w:rsidR="00326D34" w:rsidRPr="00EC5D60" w:rsidRDefault="008D5A23" w:rsidP="008D5A23">
            <w:pPr>
              <w:keepNext/>
              <w:keepLines/>
              <w:tabs>
                <w:tab w:val="left" w:pos="414"/>
              </w:tabs>
              <w:jc w:val="left"/>
              <w:rPr>
                <w:bCs/>
              </w:rPr>
            </w:pPr>
            <w:r w:rsidRPr="00EC5D60">
              <w:rPr>
                <w:bCs/>
              </w:rPr>
              <w:t>Tel:</w:t>
            </w:r>
            <w:r w:rsidR="00BF7D25">
              <w:rPr>
                <w:bCs/>
              </w:rPr>
              <w:tab/>
            </w:r>
            <w:r w:rsidRPr="00EC5D60">
              <w:rPr>
                <w:bCs/>
              </w:rPr>
              <w:t>+(7) 7172 743 761</w:t>
            </w:r>
          </w:p>
          <w:p w14:paraId="03F84DD8" w14:textId="77777777" w:rsidR="00326D34" w:rsidRPr="00EC5D60" w:rsidRDefault="008D5A23" w:rsidP="008D5A23">
            <w:pPr>
              <w:keepNext/>
              <w:keepLines/>
              <w:tabs>
                <w:tab w:val="left" w:pos="414"/>
              </w:tabs>
              <w:jc w:val="left"/>
              <w:rPr>
                <w:bCs/>
              </w:rPr>
            </w:pPr>
            <w:r>
              <w:rPr>
                <w:bCs/>
              </w:rPr>
              <w:tab/>
            </w:r>
            <w:r w:rsidR="001B4B63" w:rsidRPr="00EC5D60">
              <w:rPr>
                <w:bCs/>
              </w:rPr>
              <w:t>+(7) 7172 768 602</w:t>
            </w:r>
          </w:p>
          <w:p w14:paraId="67CF045A" w14:textId="77777777" w:rsidR="00326D34" w:rsidRPr="00EC5D60" w:rsidRDefault="008D5A23" w:rsidP="008D5A23">
            <w:pPr>
              <w:keepNext/>
              <w:keepLines/>
              <w:jc w:val="left"/>
              <w:rPr>
                <w:bCs/>
              </w:rPr>
            </w:pPr>
            <w:r w:rsidRPr="00EC5D60">
              <w:rPr>
                <w:bCs/>
              </w:rPr>
              <w:t>Fax: +(7) 7172 768 804</w:t>
            </w:r>
          </w:p>
          <w:p w14:paraId="0BE6D9F7" w14:textId="77777777" w:rsidR="00326D34" w:rsidRPr="00EC5D60" w:rsidRDefault="008D5A23" w:rsidP="008D5A23">
            <w:pPr>
              <w:keepNext/>
              <w:keepLines/>
              <w:spacing w:after="120"/>
              <w:jc w:val="left"/>
              <w:rPr>
                <w:bCs/>
              </w:rPr>
            </w:pPr>
            <w:r w:rsidRPr="00EC5D60">
              <w:rPr>
                <w:bCs/>
              </w:rPr>
              <w:t xml:space="preserve">E-mail: </w:t>
            </w:r>
            <w:hyperlink r:id="rId9" w:history="1">
              <w:r w:rsidRPr="00EC5D60">
                <w:rPr>
                  <w:bCs/>
                  <w:color w:val="0000FF"/>
                  <w:u w:val="single"/>
                </w:rPr>
                <w:t>wto.kaz.ntf@gmail.com</w:t>
              </w:r>
            </w:hyperlink>
            <w:bookmarkEnd w:id="40"/>
          </w:p>
        </w:tc>
      </w:tr>
    </w:tbl>
    <w:p w14:paraId="09A70BBC" w14:textId="77777777" w:rsidR="007141CF" w:rsidRPr="004D1783" w:rsidRDefault="007141CF" w:rsidP="004D1783"/>
    <w:sectPr w:rsidR="007141CF" w:rsidRPr="004D1783" w:rsidSect="006F087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5088" w14:textId="77777777" w:rsidR="008D5A23" w:rsidRDefault="008D5A23">
      <w:r>
        <w:separator/>
      </w:r>
    </w:p>
  </w:endnote>
  <w:endnote w:type="continuationSeparator" w:id="0">
    <w:p w14:paraId="152EA95D" w14:textId="77777777" w:rsidR="008D5A23" w:rsidRDefault="008D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E029" w14:textId="77777777" w:rsidR="00326D34" w:rsidRPr="006F0871" w:rsidRDefault="008D5A23" w:rsidP="006F087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C395" w14:textId="77777777" w:rsidR="00326D34" w:rsidRPr="006F0871" w:rsidRDefault="008D5A23" w:rsidP="006F087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E4A7" w14:textId="77777777" w:rsidR="007C2582" w:rsidRPr="004D1783" w:rsidRDefault="008D5A2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CAD3" w14:textId="77777777" w:rsidR="008D5A23" w:rsidRDefault="008D5A23">
      <w:r>
        <w:separator/>
      </w:r>
    </w:p>
  </w:footnote>
  <w:footnote w:type="continuationSeparator" w:id="0">
    <w:p w14:paraId="5FD9B51A" w14:textId="77777777" w:rsidR="008D5A23" w:rsidRDefault="008D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FFBF" w14:textId="77777777" w:rsidR="006F0871" w:rsidRPr="006F0871" w:rsidRDefault="008D5A23" w:rsidP="006F0871">
    <w:pPr>
      <w:pStyle w:val="Header"/>
      <w:pBdr>
        <w:bottom w:val="single" w:sz="4" w:space="1" w:color="auto"/>
      </w:pBdr>
      <w:tabs>
        <w:tab w:val="clear" w:pos="4513"/>
        <w:tab w:val="clear" w:pos="9027"/>
      </w:tabs>
      <w:jc w:val="center"/>
    </w:pPr>
    <w:r w:rsidRPr="006F0871">
      <w:t>G/SPS/N/KAZ/172</w:t>
    </w:r>
  </w:p>
  <w:p w14:paraId="37192C7C" w14:textId="77777777" w:rsidR="006F0871" w:rsidRPr="006F0871" w:rsidRDefault="006F0871" w:rsidP="006F0871">
    <w:pPr>
      <w:pStyle w:val="Header"/>
      <w:pBdr>
        <w:bottom w:val="single" w:sz="4" w:space="1" w:color="auto"/>
      </w:pBdr>
      <w:tabs>
        <w:tab w:val="clear" w:pos="4513"/>
        <w:tab w:val="clear" w:pos="9027"/>
      </w:tabs>
      <w:jc w:val="center"/>
    </w:pPr>
  </w:p>
  <w:p w14:paraId="5BCC72AD" w14:textId="77777777" w:rsidR="006F0871" w:rsidRPr="006F0871" w:rsidRDefault="008D5A23" w:rsidP="006F0871">
    <w:pPr>
      <w:pStyle w:val="Header"/>
      <w:pBdr>
        <w:bottom w:val="single" w:sz="4" w:space="1" w:color="auto"/>
      </w:pBdr>
      <w:tabs>
        <w:tab w:val="clear" w:pos="4513"/>
        <w:tab w:val="clear" w:pos="9027"/>
      </w:tabs>
      <w:jc w:val="center"/>
    </w:pPr>
    <w:r w:rsidRPr="006F0871">
      <w:t xml:space="preserve">- </w:t>
    </w:r>
    <w:r w:rsidRPr="006F0871">
      <w:fldChar w:fldCharType="begin"/>
    </w:r>
    <w:r w:rsidRPr="006F0871">
      <w:instrText xml:space="preserve"> PAGE </w:instrText>
    </w:r>
    <w:r w:rsidRPr="006F0871">
      <w:fldChar w:fldCharType="separate"/>
    </w:r>
    <w:r w:rsidRPr="006F0871">
      <w:rPr>
        <w:noProof/>
      </w:rPr>
      <w:t>2</w:t>
    </w:r>
    <w:r w:rsidRPr="006F0871">
      <w:fldChar w:fldCharType="end"/>
    </w:r>
    <w:r w:rsidRPr="006F0871">
      <w:t xml:space="preserve"> -</w:t>
    </w:r>
  </w:p>
  <w:p w14:paraId="4D584AB0" w14:textId="77777777" w:rsidR="00326D34" w:rsidRPr="006F0871" w:rsidRDefault="00326D34" w:rsidP="006F087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3F1F" w14:textId="77777777" w:rsidR="006F0871" w:rsidRPr="006F0871" w:rsidRDefault="008D5A23" w:rsidP="006F0871">
    <w:pPr>
      <w:pStyle w:val="Header"/>
      <w:pBdr>
        <w:bottom w:val="single" w:sz="4" w:space="1" w:color="auto"/>
      </w:pBdr>
      <w:tabs>
        <w:tab w:val="clear" w:pos="4513"/>
        <w:tab w:val="clear" w:pos="9027"/>
      </w:tabs>
      <w:jc w:val="center"/>
    </w:pPr>
    <w:r w:rsidRPr="006F0871">
      <w:t>G/SPS/N/KAZ/172</w:t>
    </w:r>
  </w:p>
  <w:p w14:paraId="18706566" w14:textId="77777777" w:rsidR="006F0871" w:rsidRPr="006F0871" w:rsidRDefault="006F0871" w:rsidP="006F0871">
    <w:pPr>
      <w:pStyle w:val="Header"/>
      <w:pBdr>
        <w:bottom w:val="single" w:sz="4" w:space="1" w:color="auto"/>
      </w:pBdr>
      <w:tabs>
        <w:tab w:val="clear" w:pos="4513"/>
        <w:tab w:val="clear" w:pos="9027"/>
      </w:tabs>
      <w:jc w:val="center"/>
    </w:pPr>
  </w:p>
  <w:p w14:paraId="2AEECB6E" w14:textId="77777777" w:rsidR="006F0871" w:rsidRPr="006F0871" w:rsidRDefault="008D5A23" w:rsidP="006F0871">
    <w:pPr>
      <w:pStyle w:val="Header"/>
      <w:pBdr>
        <w:bottom w:val="single" w:sz="4" w:space="1" w:color="auto"/>
      </w:pBdr>
      <w:tabs>
        <w:tab w:val="clear" w:pos="4513"/>
        <w:tab w:val="clear" w:pos="9027"/>
      </w:tabs>
      <w:jc w:val="center"/>
    </w:pPr>
    <w:r w:rsidRPr="006F0871">
      <w:t xml:space="preserve">- </w:t>
    </w:r>
    <w:r w:rsidRPr="006F0871">
      <w:fldChar w:fldCharType="begin"/>
    </w:r>
    <w:r w:rsidRPr="006F0871">
      <w:instrText xml:space="preserve"> PAGE </w:instrText>
    </w:r>
    <w:r w:rsidRPr="006F0871">
      <w:fldChar w:fldCharType="separate"/>
    </w:r>
    <w:r w:rsidRPr="006F0871">
      <w:rPr>
        <w:noProof/>
      </w:rPr>
      <w:t>2</w:t>
    </w:r>
    <w:r w:rsidRPr="006F0871">
      <w:fldChar w:fldCharType="end"/>
    </w:r>
    <w:r w:rsidRPr="006F0871">
      <w:t xml:space="preserve"> -</w:t>
    </w:r>
  </w:p>
  <w:p w14:paraId="25FEF87B" w14:textId="77777777" w:rsidR="00326D34" w:rsidRPr="006F0871" w:rsidRDefault="00326D34" w:rsidP="006F087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546A1" w14:paraId="221D81C6" w14:textId="77777777" w:rsidTr="00F766DE">
      <w:trPr>
        <w:trHeight w:val="240"/>
        <w:jc w:val="center"/>
      </w:trPr>
      <w:tc>
        <w:tcPr>
          <w:tcW w:w="3794" w:type="dxa"/>
          <w:shd w:val="clear" w:color="auto" w:fill="FFFFFF"/>
          <w:tcMar>
            <w:left w:w="108" w:type="dxa"/>
            <w:right w:w="108" w:type="dxa"/>
          </w:tcMar>
          <w:vAlign w:val="center"/>
        </w:tcPr>
        <w:p w14:paraId="107FE5E2"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5A2D04B" w14:textId="77777777" w:rsidR="00ED54E0" w:rsidRPr="00326D34" w:rsidRDefault="008D5A23" w:rsidP="00545F9C">
          <w:pPr>
            <w:jc w:val="right"/>
            <w:rPr>
              <w:b/>
              <w:color w:val="FF0000"/>
              <w:szCs w:val="16"/>
            </w:rPr>
          </w:pPr>
          <w:r>
            <w:rPr>
              <w:b/>
              <w:color w:val="FF0000"/>
              <w:szCs w:val="16"/>
            </w:rPr>
            <w:t xml:space="preserve"> </w:t>
          </w:r>
        </w:p>
      </w:tc>
    </w:tr>
    <w:bookmarkEnd w:id="41"/>
    <w:tr w:rsidR="00D546A1" w14:paraId="7FF8AA0C" w14:textId="77777777" w:rsidTr="00F766DE">
      <w:trPr>
        <w:trHeight w:val="213"/>
        <w:jc w:val="center"/>
      </w:trPr>
      <w:tc>
        <w:tcPr>
          <w:tcW w:w="3794" w:type="dxa"/>
          <w:vMerge w:val="restart"/>
          <w:shd w:val="clear" w:color="auto" w:fill="FFFFFF"/>
          <w:tcMar>
            <w:left w:w="0" w:type="dxa"/>
            <w:right w:w="0" w:type="dxa"/>
          </w:tcMar>
        </w:tcPr>
        <w:p w14:paraId="61084911" w14:textId="77777777" w:rsidR="00ED54E0" w:rsidRPr="00326D34" w:rsidRDefault="001C0D91" w:rsidP="00545F9C">
          <w:pPr>
            <w:jc w:val="left"/>
          </w:pPr>
          <w:r>
            <w:rPr>
              <w:lang w:eastAsia="en-GB"/>
            </w:rPr>
            <w:pict w14:anchorId="410F8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5pt;visibility:visible">
                <v:imagedata r:id="rId1" o:title=""/>
              </v:shape>
            </w:pict>
          </w:r>
        </w:p>
      </w:tc>
      <w:tc>
        <w:tcPr>
          <w:tcW w:w="5448" w:type="dxa"/>
          <w:gridSpan w:val="2"/>
          <w:shd w:val="clear" w:color="auto" w:fill="FFFFFF"/>
          <w:tcMar>
            <w:left w:w="108" w:type="dxa"/>
            <w:right w:w="108" w:type="dxa"/>
          </w:tcMar>
        </w:tcPr>
        <w:p w14:paraId="15E7FD9A" w14:textId="77777777" w:rsidR="00ED54E0" w:rsidRPr="00326D34" w:rsidRDefault="00ED54E0" w:rsidP="00545F9C">
          <w:pPr>
            <w:jc w:val="right"/>
            <w:rPr>
              <w:b/>
              <w:szCs w:val="16"/>
            </w:rPr>
          </w:pPr>
        </w:p>
      </w:tc>
    </w:tr>
    <w:tr w:rsidR="00D546A1" w14:paraId="47B6BDE6" w14:textId="77777777" w:rsidTr="00F766DE">
      <w:trPr>
        <w:trHeight w:val="868"/>
        <w:jc w:val="center"/>
      </w:trPr>
      <w:tc>
        <w:tcPr>
          <w:tcW w:w="3794" w:type="dxa"/>
          <w:vMerge/>
          <w:shd w:val="clear" w:color="auto" w:fill="FFFFFF"/>
          <w:tcMar>
            <w:left w:w="108" w:type="dxa"/>
            <w:right w:w="108" w:type="dxa"/>
          </w:tcMar>
        </w:tcPr>
        <w:p w14:paraId="01A09BE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989A50B" w14:textId="77777777" w:rsidR="006F0871" w:rsidRDefault="008D5A23" w:rsidP="00043762">
          <w:pPr>
            <w:jc w:val="right"/>
            <w:rPr>
              <w:b/>
              <w:szCs w:val="16"/>
            </w:rPr>
          </w:pPr>
          <w:bookmarkStart w:id="42" w:name="bmkSymbols"/>
          <w:r>
            <w:rPr>
              <w:b/>
              <w:szCs w:val="16"/>
            </w:rPr>
            <w:t>G/SPS/N/KAZ/172</w:t>
          </w:r>
          <w:bookmarkEnd w:id="42"/>
        </w:p>
      </w:tc>
    </w:tr>
    <w:tr w:rsidR="00D546A1" w14:paraId="31F525FB" w14:textId="77777777" w:rsidTr="00F766DE">
      <w:trPr>
        <w:trHeight w:val="240"/>
        <w:jc w:val="center"/>
      </w:trPr>
      <w:tc>
        <w:tcPr>
          <w:tcW w:w="3794" w:type="dxa"/>
          <w:vMerge/>
          <w:shd w:val="clear" w:color="auto" w:fill="FFFFFF"/>
          <w:tcMar>
            <w:left w:w="108" w:type="dxa"/>
            <w:right w:w="108" w:type="dxa"/>
          </w:tcMar>
          <w:vAlign w:val="center"/>
        </w:tcPr>
        <w:p w14:paraId="489FEE4B" w14:textId="77777777" w:rsidR="00ED54E0" w:rsidRPr="00326D34" w:rsidRDefault="00ED54E0" w:rsidP="00545F9C"/>
      </w:tc>
      <w:tc>
        <w:tcPr>
          <w:tcW w:w="5448" w:type="dxa"/>
          <w:gridSpan w:val="2"/>
          <w:shd w:val="clear" w:color="auto" w:fill="FFFFFF"/>
          <w:tcMar>
            <w:left w:w="108" w:type="dxa"/>
            <w:right w:w="108" w:type="dxa"/>
          </w:tcMar>
          <w:vAlign w:val="center"/>
        </w:tcPr>
        <w:p w14:paraId="3A8596C0" w14:textId="1F943A8A" w:rsidR="00ED54E0" w:rsidRPr="00326D34" w:rsidRDefault="00210529" w:rsidP="00545F9C">
          <w:pPr>
            <w:jc w:val="right"/>
            <w:rPr>
              <w:szCs w:val="16"/>
            </w:rPr>
          </w:pPr>
          <w:bookmarkStart w:id="43" w:name="spsDateDistribution"/>
          <w:bookmarkStart w:id="44" w:name="bmkDate"/>
          <w:bookmarkEnd w:id="43"/>
          <w:bookmarkEnd w:id="44"/>
          <w:r>
            <w:rPr>
              <w:szCs w:val="16"/>
            </w:rPr>
            <w:t>20 February 2024</w:t>
          </w:r>
        </w:p>
      </w:tc>
    </w:tr>
    <w:tr w:rsidR="00D546A1" w14:paraId="37ECDE43"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BEED0B" w14:textId="72703A89" w:rsidR="00ED54E0" w:rsidRPr="00326D34" w:rsidRDefault="008D5A23" w:rsidP="00545F9C">
          <w:pPr>
            <w:jc w:val="left"/>
            <w:rPr>
              <w:b/>
            </w:rPr>
          </w:pPr>
          <w:bookmarkStart w:id="45" w:name="bmkSerial"/>
          <w:r w:rsidRPr="004D1783">
            <w:rPr>
              <w:color w:val="FF0000"/>
              <w:szCs w:val="16"/>
            </w:rPr>
            <w:t>(</w:t>
          </w:r>
          <w:bookmarkStart w:id="46" w:name="spsSerialNumber"/>
          <w:bookmarkEnd w:id="46"/>
          <w:r w:rsidR="00210529">
            <w:rPr>
              <w:color w:val="FF0000"/>
              <w:szCs w:val="16"/>
            </w:rPr>
            <w:t>24-</w:t>
          </w:r>
          <w:r w:rsidR="001C0D91">
            <w:rPr>
              <w:color w:val="FF0000"/>
              <w:szCs w:val="16"/>
            </w:rPr>
            <w:t>1505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B989730" w14:textId="77777777" w:rsidR="00ED54E0" w:rsidRPr="00326D34" w:rsidRDefault="008D5A23"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546A1" w14:paraId="4154AD4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17714E" w14:textId="77777777" w:rsidR="00ED54E0" w:rsidRPr="00326D34" w:rsidRDefault="008D5A23"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F628352" w14:textId="77777777" w:rsidR="00ED54E0" w:rsidRPr="004D1783" w:rsidRDefault="008D5A23" w:rsidP="00BD648A">
          <w:pPr>
            <w:jc w:val="right"/>
            <w:rPr>
              <w:bCs/>
              <w:szCs w:val="18"/>
            </w:rPr>
          </w:pPr>
          <w:bookmarkStart w:id="49" w:name="bmkLanguage"/>
          <w:r>
            <w:rPr>
              <w:bCs/>
              <w:szCs w:val="18"/>
            </w:rPr>
            <w:t>Original: English</w:t>
          </w:r>
          <w:bookmarkEnd w:id="49"/>
        </w:p>
      </w:tc>
    </w:tr>
  </w:tbl>
  <w:p w14:paraId="6888DB2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308AE6">
      <w:start w:val="1"/>
      <w:numFmt w:val="decimal"/>
      <w:pStyle w:val="SummaryText"/>
      <w:lvlText w:val="%1."/>
      <w:lvlJc w:val="left"/>
      <w:pPr>
        <w:ind w:left="360" w:hanging="360"/>
      </w:pPr>
    </w:lvl>
    <w:lvl w:ilvl="1" w:tplc="41A4A99C" w:tentative="1">
      <w:start w:val="1"/>
      <w:numFmt w:val="lowerLetter"/>
      <w:lvlText w:val="%2."/>
      <w:lvlJc w:val="left"/>
      <w:pPr>
        <w:ind w:left="1080" w:hanging="360"/>
      </w:pPr>
    </w:lvl>
    <w:lvl w:ilvl="2" w:tplc="32486676" w:tentative="1">
      <w:start w:val="1"/>
      <w:numFmt w:val="lowerRoman"/>
      <w:lvlText w:val="%3."/>
      <w:lvlJc w:val="right"/>
      <w:pPr>
        <w:ind w:left="1800" w:hanging="180"/>
      </w:pPr>
    </w:lvl>
    <w:lvl w:ilvl="3" w:tplc="2216182A" w:tentative="1">
      <w:start w:val="1"/>
      <w:numFmt w:val="decimal"/>
      <w:lvlText w:val="%4."/>
      <w:lvlJc w:val="left"/>
      <w:pPr>
        <w:ind w:left="2520" w:hanging="360"/>
      </w:pPr>
    </w:lvl>
    <w:lvl w:ilvl="4" w:tplc="458A27EE" w:tentative="1">
      <w:start w:val="1"/>
      <w:numFmt w:val="lowerLetter"/>
      <w:lvlText w:val="%5."/>
      <w:lvlJc w:val="left"/>
      <w:pPr>
        <w:ind w:left="3240" w:hanging="360"/>
      </w:pPr>
    </w:lvl>
    <w:lvl w:ilvl="5" w:tplc="46B02E2C" w:tentative="1">
      <w:start w:val="1"/>
      <w:numFmt w:val="lowerRoman"/>
      <w:lvlText w:val="%6."/>
      <w:lvlJc w:val="right"/>
      <w:pPr>
        <w:ind w:left="3960" w:hanging="180"/>
      </w:pPr>
    </w:lvl>
    <w:lvl w:ilvl="6" w:tplc="940043E8" w:tentative="1">
      <w:start w:val="1"/>
      <w:numFmt w:val="decimal"/>
      <w:lvlText w:val="%7."/>
      <w:lvlJc w:val="left"/>
      <w:pPr>
        <w:ind w:left="4680" w:hanging="360"/>
      </w:pPr>
    </w:lvl>
    <w:lvl w:ilvl="7" w:tplc="89027872" w:tentative="1">
      <w:start w:val="1"/>
      <w:numFmt w:val="lowerLetter"/>
      <w:lvlText w:val="%8."/>
      <w:lvlJc w:val="left"/>
      <w:pPr>
        <w:ind w:left="5400" w:hanging="360"/>
      </w:pPr>
    </w:lvl>
    <w:lvl w:ilvl="8" w:tplc="21762336" w:tentative="1">
      <w:start w:val="1"/>
      <w:numFmt w:val="lowerRoman"/>
      <w:lvlText w:val="%9."/>
      <w:lvlJc w:val="right"/>
      <w:pPr>
        <w:ind w:left="6120" w:hanging="180"/>
      </w:pPr>
    </w:lvl>
  </w:abstractNum>
  <w:num w:numId="1" w16cid:durableId="1476339435">
    <w:abstractNumId w:val="9"/>
  </w:num>
  <w:num w:numId="2" w16cid:durableId="1478835077">
    <w:abstractNumId w:val="7"/>
  </w:num>
  <w:num w:numId="3" w16cid:durableId="1692026500">
    <w:abstractNumId w:val="6"/>
  </w:num>
  <w:num w:numId="4" w16cid:durableId="701782472">
    <w:abstractNumId w:val="5"/>
  </w:num>
  <w:num w:numId="5" w16cid:durableId="510293599">
    <w:abstractNumId w:val="4"/>
  </w:num>
  <w:num w:numId="6" w16cid:durableId="1861164988">
    <w:abstractNumId w:val="12"/>
  </w:num>
  <w:num w:numId="7" w16cid:durableId="1642421908">
    <w:abstractNumId w:val="11"/>
  </w:num>
  <w:num w:numId="8" w16cid:durableId="1794708678">
    <w:abstractNumId w:val="10"/>
  </w:num>
  <w:num w:numId="9" w16cid:durableId="1240941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867675">
    <w:abstractNumId w:val="13"/>
  </w:num>
  <w:num w:numId="11" w16cid:durableId="1287658968">
    <w:abstractNumId w:val="8"/>
  </w:num>
  <w:num w:numId="12" w16cid:durableId="2023163184">
    <w:abstractNumId w:val="3"/>
  </w:num>
  <w:num w:numId="13" w16cid:durableId="769932383">
    <w:abstractNumId w:val="2"/>
  </w:num>
  <w:num w:numId="14" w16cid:durableId="1504280559">
    <w:abstractNumId w:val="1"/>
  </w:num>
  <w:num w:numId="15" w16cid:durableId="149194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B69E3"/>
    <w:rsid w:val="0011356B"/>
    <w:rsid w:val="00125F47"/>
    <w:rsid w:val="0013337F"/>
    <w:rsid w:val="0013557F"/>
    <w:rsid w:val="00160C51"/>
    <w:rsid w:val="00172EEE"/>
    <w:rsid w:val="00182B84"/>
    <w:rsid w:val="001B4B63"/>
    <w:rsid w:val="001C0D91"/>
    <w:rsid w:val="001D3345"/>
    <w:rsid w:val="001E291F"/>
    <w:rsid w:val="00210529"/>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40ED9"/>
    <w:rsid w:val="00467032"/>
    <w:rsid w:val="0046754A"/>
    <w:rsid w:val="00475E67"/>
    <w:rsid w:val="00486BC3"/>
    <w:rsid w:val="00494518"/>
    <w:rsid w:val="004A10F0"/>
    <w:rsid w:val="004C00BD"/>
    <w:rsid w:val="004D1783"/>
    <w:rsid w:val="004D23AF"/>
    <w:rsid w:val="004F203A"/>
    <w:rsid w:val="005135F5"/>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0871"/>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D5A23"/>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BF7D25"/>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46A1"/>
    <w:rsid w:val="00D55AAD"/>
    <w:rsid w:val="00D747AE"/>
    <w:rsid w:val="00D9226C"/>
    <w:rsid w:val="00DA20BD"/>
    <w:rsid w:val="00DD1C1C"/>
    <w:rsid w:val="00DE50DB"/>
    <w:rsid w:val="00DF6AE1"/>
    <w:rsid w:val="00E0294A"/>
    <w:rsid w:val="00E132A6"/>
    <w:rsid w:val="00E20F60"/>
    <w:rsid w:val="00E46FD5"/>
    <w:rsid w:val="00E544BB"/>
    <w:rsid w:val="00E56545"/>
    <w:rsid w:val="00E77D04"/>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1B4B63"/>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d1df5433-0db3-4ffa-9506-c4e0e4403bc0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B462867-0177-4978-BB5C-2F5DCAA5828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8</TotalTime>
  <Pages>2</Pages>
  <Words>744</Words>
  <Characters>4261</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2024-02-20T07:45:00Z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G/SPS/N/KAZ/172</vt:lpwstr>
  </property>
  <property fmtid="{D5CDD505-2E9C-101B-9397-08002B2CF9AE}" pid="3" name="TitusGUID">
    <vt:lpwstr>d1df5433-0db3-4ffa-9506-c4e0e4403bc0</vt:lpwstr>
  </property>
  <property fmtid="{D5CDD505-2E9C-101B-9397-08002B2CF9AE}" pid="4" name="WTOCLASSIFICATION">
    <vt:lpwstr>WTO OFFICIAL</vt:lpwstr>
  </property>
</Properties>
</file>