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DBC1" w14:textId="77777777" w:rsidR="00AD0FDA" w:rsidRPr="00934B4C" w:rsidRDefault="00F551FF" w:rsidP="00F23739">
      <w:pPr>
        <w:pStyle w:val="Title"/>
        <w:spacing w:before="360"/>
        <w:rPr>
          <w:caps w:val="0"/>
          <w:kern w:val="0"/>
        </w:rPr>
      </w:pPr>
      <w:r w:rsidRPr="00934B4C">
        <w:rPr>
          <w:caps w:val="0"/>
          <w:kern w:val="0"/>
        </w:rPr>
        <w:t>NOTIFICATION</w:t>
      </w:r>
    </w:p>
    <w:p w14:paraId="60FD5327" w14:textId="77777777" w:rsidR="00AD0FDA" w:rsidRPr="00934B4C" w:rsidRDefault="00F551FF" w:rsidP="00934B4C">
      <w:pPr>
        <w:pStyle w:val="Title3"/>
      </w:pPr>
      <w:r w:rsidRPr="00934B4C">
        <w:t>Addendum</w:t>
      </w:r>
    </w:p>
    <w:p w14:paraId="716BE96A" w14:textId="77777777" w:rsidR="007141CF" w:rsidRPr="00934B4C" w:rsidRDefault="00F551FF" w:rsidP="00934B4C">
      <w:r w:rsidRPr="00934B4C">
        <w:t xml:space="preserve">The following communication, received on 17 September 2024, is being circulated at the request of the Delegation of </w:t>
      </w:r>
      <w:r w:rsidRPr="00934B4C">
        <w:rPr>
          <w:u w:val="single"/>
        </w:rPr>
        <w:t>New Zealand</w:t>
      </w:r>
      <w:r w:rsidRPr="00934B4C">
        <w:t>.</w:t>
      </w:r>
    </w:p>
    <w:p w14:paraId="53E67713" w14:textId="77777777" w:rsidR="00AD0FDA" w:rsidRPr="00934B4C" w:rsidRDefault="00AD0FDA" w:rsidP="00934B4C"/>
    <w:p w14:paraId="4B72FF93" w14:textId="77777777" w:rsidR="00AD0FDA" w:rsidRPr="00934B4C" w:rsidRDefault="00F551FF" w:rsidP="00934B4C">
      <w:pPr>
        <w:jc w:val="center"/>
        <w:rPr>
          <w:b/>
        </w:rPr>
      </w:pPr>
      <w:r w:rsidRPr="00934B4C">
        <w:rPr>
          <w:b/>
        </w:rPr>
        <w:t>_______________</w:t>
      </w:r>
    </w:p>
    <w:p w14:paraId="15C384EB" w14:textId="77777777" w:rsidR="00AD0FDA" w:rsidRPr="00934B4C" w:rsidRDefault="00AD0FDA" w:rsidP="00934B4C"/>
    <w:p w14:paraId="08CEEF0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52191" w14:paraId="071812A4" w14:textId="77777777" w:rsidTr="00D0271D">
        <w:tc>
          <w:tcPr>
            <w:tcW w:w="9242" w:type="dxa"/>
            <w:shd w:val="clear" w:color="auto" w:fill="auto"/>
          </w:tcPr>
          <w:p w14:paraId="05B4E093" w14:textId="77777777" w:rsidR="00AD0FDA" w:rsidRPr="00934B4C" w:rsidRDefault="00F551FF" w:rsidP="00F23739">
            <w:pPr>
              <w:spacing w:after="180"/>
              <w:rPr>
                <w:u w:val="single"/>
              </w:rPr>
            </w:pPr>
            <w:r w:rsidRPr="00934B4C">
              <w:rPr>
                <w:u w:val="single"/>
              </w:rPr>
              <w:t>Issuance of amended import health standard for seeds for sowing</w:t>
            </w:r>
          </w:p>
        </w:tc>
      </w:tr>
      <w:tr w:rsidR="00E52191" w14:paraId="1EDDF5A7" w14:textId="77777777" w:rsidTr="00D0271D">
        <w:tc>
          <w:tcPr>
            <w:tcW w:w="9242" w:type="dxa"/>
            <w:shd w:val="clear" w:color="auto" w:fill="auto"/>
          </w:tcPr>
          <w:p w14:paraId="418FC9A3" w14:textId="77777777" w:rsidR="00AD0FDA" w:rsidRPr="00934B4C" w:rsidRDefault="00F551FF" w:rsidP="00F23739">
            <w:pPr>
              <w:spacing w:after="120"/>
              <w:rPr>
                <w:u w:val="single"/>
              </w:rPr>
            </w:pPr>
            <w:r>
              <w:t>This addendum concerns the amendment of the previously notified document, the Ministry for Primary Industries (MPI) Import Health Standard: Seeds for Sowing (155.02.05). The amendment to this import health standard was notified in G/SPS/N/NZL/768 dated 16 May 2024.</w:t>
            </w:r>
          </w:p>
          <w:p w14:paraId="44374490" w14:textId="77777777" w:rsidR="00765725" w:rsidRDefault="00F551FF" w:rsidP="00F23739">
            <w:pPr>
              <w:spacing w:after="120"/>
            </w:pPr>
            <w:r>
              <w:t xml:space="preserve">Consultation on these changes has closed and the Ministry for Primary Industries issued the amended Import Health Standard: Seeds for Sowing (155.02.05) on 30 August 2024. The issued standard is on this link - </w:t>
            </w:r>
            <w:hyperlink r:id="rId8" w:history="1">
              <w:r>
                <w:rPr>
                  <w:color w:val="0000FF"/>
                  <w:u w:val="single"/>
                </w:rPr>
                <w:t>https://www.mpi.govt.nz/dmsdocument/1151-Seeds-for-Sowing-Import-Health-Standard</w:t>
              </w:r>
            </w:hyperlink>
            <w:r>
              <w:t>.</w:t>
            </w:r>
          </w:p>
          <w:p w14:paraId="174E13B1" w14:textId="77777777" w:rsidR="00765725" w:rsidRDefault="00F551FF" w:rsidP="00F23739">
            <w:pPr>
              <w:spacing w:after="120"/>
            </w:pPr>
            <w:r>
              <w:t>All the changes to the Import Health Standard: Seeds for Sowing (155.02.05) proposed in G/SPS/N/NZL/768 were adopted, published, and entered into force on 30 August 2024.</w:t>
            </w:r>
          </w:p>
          <w:p w14:paraId="29563CCD" w14:textId="77777777" w:rsidR="00765725" w:rsidRDefault="00F551FF" w:rsidP="00F23739">
            <w:r>
              <w:t>Note that we have provided a one year implementation period for the following change</w:t>
            </w:r>
            <w:r w:rsidR="004914DB">
              <w:t>s</w:t>
            </w:r>
            <w:r>
              <w:t>:</w:t>
            </w:r>
          </w:p>
          <w:p w14:paraId="6C675398" w14:textId="77777777" w:rsidR="00765725" w:rsidRDefault="00F551FF" w:rsidP="004914DB">
            <w:pPr>
              <w:numPr>
                <w:ilvl w:val="0"/>
                <w:numId w:val="16"/>
              </w:numPr>
              <w:ind w:left="380" w:hanging="380"/>
            </w:pPr>
            <w:r>
              <w:t xml:space="preserve">Changing the wording for additional declarations for pests from: pest "not known to occur"; to "the seeds are produced in an area where [pest] is absent" as per ISPM 8: Determination of pest status in an area. Those changes apply for specific pests in the following 18 schedules in the import health standard: </w:t>
            </w:r>
            <w:r>
              <w:rPr>
                <w:i/>
                <w:iCs/>
              </w:rPr>
              <w:t>Capsicum</w:t>
            </w:r>
            <w:r>
              <w:t xml:space="preserve">, </w:t>
            </w:r>
            <w:r>
              <w:rPr>
                <w:i/>
                <w:iCs/>
              </w:rPr>
              <w:t>Carpinus</w:t>
            </w:r>
            <w:r>
              <w:t xml:space="preserve">, </w:t>
            </w:r>
            <w:r>
              <w:rPr>
                <w:i/>
                <w:iCs/>
              </w:rPr>
              <w:t>Carya</w:t>
            </w:r>
            <w:r>
              <w:t xml:space="preserve">, </w:t>
            </w:r>
            <w:r>
              <w:rPr>
                <w:i/>
                <w:iCs/>
              </w:rPr>
              <w:t>Castanea</w:t>
            </w:r>
            <w:r>
              <w:t xml:space="preserve">, </w:t>
            </w:r>
            <w:r>
              <w:rPr>
                <w:i/>
                <w:iCs/>
              </w:rPr>
              <w:t>Citrus</w:t>
            </w:r>
            <w:r>
              <w:t xml:space="preserve">, </w:t>
            </w:r>
            <w:r>
              <w:rPr>
                <w:i/>
                <w:iCs/>
              </w:rPr>
              <w:t>Cucumis</w:t>
            </w:r>
            <w:r>
              <w:t xml:space="preserve">, </w:t>
            </w:r>
            <w:r>
              <w:rPr>
                <w:i/>
                <w:iCs/>
              </w:rPr>
              <w:t>Cucurbitaceae</w:t>
            </w:r>
            <w:r>
              <w:t xml:space="preserve">, </w:t>
            </w:r>
            <w:r>
              <w:rPr>
                <w:i/>
                <w:iCs/>
              </w:rPr>
              <w:t>Desmodium</w:t>
            </w:r>
            <w:r>
              <w:t xml:space="preserve">, </w:t>
            </w:r>
            <w:r>
              <w:rPr>
                <w:i/>
                <w:iCs/>
              </w:rPr>
              <w:t>Eriobotryia</w:t>
            </w:r>
            <w:r>
              <w:t xml:space="preserve">, </w:t>
            </w:r>
            <w:r>
              <w:rPr>
                <w:i/>
                <w:iCs/>
              </w:rPr>
              <w:t>Helianthus</w:t>
            </w:r>
            <w:r>
              <w:t xml:space="preserve">, </w:t>
            </w:r>
            <w:r>
              <w:rPr>
                <w:i/>
                <w:iCs/>
              </w:rPr>
              <w:t>Juglans</w:t>
            </w:r>
            <w:r>
              <w:t xml:space="preserve">, </w:t>
            </w:r>
            <w:r>
              <w:rPr>
                <w:i/>
                <w:iCs/>
              </w:rPr>
              <w:t>Lens</w:t>
            </w:r>
            <w:r>
              <w:t xml:space="preserve">, </w:t>
            </w:r>
            <w:r>
              <w:rPr>
                <w:i/>
                <w:iCs/>
              </w:rPr>
              <w:t>Lithocarpus densiflorus</w:t>
            </w:r>
            <w:r>
              <w:t xml:space="preserve">, </w:t>
            </w:r>
            <w:r>
              <w:rPr>
                <w:i/>
                <w:iCs/>
              </w:rPr>
              <w:t>Medicago</w:t>
            </w:r>
            <w:r>
              <w:t xml:space="preserve">, </w:t>
            </w:r>
            <w:r>
              <w:rPr>
                <w:i/>
                <w:iCs/>
              </w:rPr>
              <w:t>Nicotiana tabacum</w:t>
            </w:r>
            <w:r>
              <w:t xml:space="preserve">, </w:t>
            </w:r>
            <w:r>
              <w:rPr>
                <w:i/>
                <w:iCs/>
              </w:rPr>
              <w:t>Quercus</w:t>
            </w:r>
            <w:r>
              <w:t xml:space="preserve">, </w:t>
            </w:r>
            <w:r>
              <w:rPr>
                <w:i/>
                <w:iCs/>
              </w:rPr>
              <w:t>Ulmus</w:t>
            </w:r>
            <w:r>
              <w:t xml:space="preserve"> and </w:t>
            </w:r>
            <w:r>
              <w:rPr>
                <w:i/>
                <w:iCs/>
              </w:rPr>
              <w:t>Vigna</w:t>
            </w:r>
            <w:r w:rsidR="00EF7E3C">
              <w:t>.</w:t>
            </w:r>
          </w:p>
          <w:p w14:paraId="52FEE73A" w14:textId="77777777" w:rsidR="00765725" w:rsidRDefault="00F551FF" w:rsidP="004914DB">
            <w:pPr>
              <w:numPr>
                <w:ilvl w:val="0"/>
                <w:numId w:val="16"/>
              </w:numPr>
              <w:spacing w:after="120"/>
              <w:ind w:left="380" w:hanging="380"/>
            </w:pPr>
            <w:r>
              <w:t xml:space="preserve">Until 30 August 2025, MPI will accept phytosanitary certificates with additional declarations for these pests that certify either the "[pest] is not known to occur" or "the seeds are produced in an area where the [pest] is absent" as per ISPM 8: </w:t>
            </w:r>
            <w:r>
              <w:rPr>
                <w:i/>
                <w:iCs/>
              </w:rPr>
              <w:t>Determination of pest status in an area</w:t>
            </w:r>
            <w:r>
              <w:t>. Guidance about this has been added in the 18 schedules.</w:t>
            </w:r>
          </w:p>
          <w:p w14:paraId="17F98366" w14:textId="77777777" w:rsidR="00765725" w:rsidRDefault="00F551FF" w:rsidP="00F23739">
            <w:pPr>
              <w:spacing w:after="120"/>
            </w:pPr>
            <w:r>
              <w:t xml:space="preserve">In relation to the change notified in G/SPS/N/NZL/768 to add seed testing (either offshore prior to export or on-arrival in New Zealand) as an option for a phytosanitary measure for certain pests, MPI wishes to inform trading partners that on-arrival testing in New Zealand is only possible if the seeds are not pesticide treated. Guidance about this has been added in the following schedules in the import health standard: </w:t>
            </w:r>
            <w:r>
              <w:rPr>
                <w:i/>
                <w:iCs/>
              </w:rPr>
              <w:t>Avena</w:t>
            </w:r>
            <w:r>
              <w:t xml:space="preserve">, </w:t>
            </w:r>
            <w:r>
              <w:rPr>
                <w:i/>
                <w:iCs/>
              </w:rPr>
              <w:t>Glycine</w:t>
            </w:r>
            <w:r>
              <w:t xml:space="preserve">, </w:t>
            </w:r>
            <w:r>
              <w:rPr>
                <w:i/>
                <w:iCs/>
              </w:rPr>
              <w:t>Hordeum</w:t>
            </w:r>
            <w:r>
              <w:t xml:space="preserve">, </w:t>
            </w:r>
            <w:r>
              <w:rPr>
                <w:i/>
                <w:iCs/>
              </w:rPr>
              <w:t>Sesamum</w:t>
            </w:r>
            <w:r>
              <w:t xml:space="preserve">, </w:t>
            </w:r>
            <w:r>
              <w:rPr>
                <w:i/>
                <w:iCs/>
              </w:rPr>
              <w:t>Triticum</w:t>
            </w:r>
            <w:r>
              <w:t xml:space="preserve"> and </w:t>
            </w:r>
            <w:r>
              <w:rPr>
                <w:i/>
                <w:iCs/>
              </w:rPr>
              <w:t>Vigna</w:t>
            </w:r>
            <w:r>
              <w:t>.</w:t>
            </w:r>
          </w:p>
          <w:p w14:paraId="5A32A609" w14:textId="77777777" w:rsidR="00765725" w:rsidRDefault="00F551FF" w:rsidP="00AE57D3">
            <w:r>
              <w:t>Adoption date of regulation: 30 August 2024.</w:t>
            </w:r>
          </w:p>
          <w:p w14:paraId="64189A22" w14:textId="77777777" w:rsidR="00765725" w:rsidRDefault="00470201" w:rsidP="00AE57D3">
            <w:pPr>
              <w:spacing w:after="240"/>
            </w:pPr>
            <w:hyperlink r:id="rId9" w:tgtFrame="_blank" w:history="1">
              <w:r w:rsidR="004D5C57">
                <w:rPr>
                  <w:color w:val="0000FF"/>
                  <w:u w:val="single"/>
                </w:rPr>
                <w:t>https://members.wto.org/crnattachments/2024/SPS/NZL/24_06048_00_e.pdf</w:t>
              </w:r>
            </w:hyperlink>
          </w:p>
        </w:tc>
      </w:tr>
      <w:tr w:rsidR="00E52191" w14:paraId="772A44DE" w14:textId="77777777" w:rsidTr="00D0271D">
        <w:tc>
          <w:tcPr>
            <w:tcW w:w="9242" w:type="dxa"/>
            <w:shd w:val="clear" w:color="auto" w:fill="auto"/>
          </w:tcPr>
          <w:p w14:paraId="4425BF57" w14:textId="77777777" w:rsidR="00AD0FDA" w:rsidRPr="00934B4C" w:rsidRDefault="00F551FF" w:rsidP="000D2A42">
            <w:pPr>
              <w:keepNext/>
              <w:spacing w:after="240"/>
              <w:rPr>
                <w:b/>
              </w:rPr>
            </w:pPr>
            <w:r w:rsidRPr="00934B4C">
              <w:rPr>
                <w:b/>
              </w:rPr>
              <w:t>This addendum concerns a:</w:t>
            </w:r>
          </w:p>
        </w:tc>
      </w:tr>
      <w:tr w:rsidR="00E52191" w14:paraId="594F56C0" w14:textId="77777777" w:rsidTr="00D0271D">
        <w:tc>
          <w:tcPr>
            <w:tcW w:w="9242" w:type="dxa"/>
            <w:shd w:val="clear" w:color="auto" w:fill="auto"/>
          </w:tcPr>
          <w:p w14:paraId="2BA0F7CE" w14:textId="77777777" w:rsidR="00AD0FDA" w:rsidRPr="00934B4C" w:rsidRDefault="00F551FF" w:rsidP="000D2A42">
            <w:pPr>
              <w:keepNext/>
              <w:ind w:left="1440" w:hanging="873"/>
            </w:pPr>
            <w:r w:rsidRPr="00934B4C">
              <w:t xml:space="preserve">[ </w:t>
            </w:r>
            <w:r w:rsidR="00C52DE3" w:rsidRPr="00934B4C">
              <w:t>]</w:t>
            </w:r>
            <w:r w:rsidR="00F342EB" w:rsidRPr="00934B4C">
              <w:tab/>
            </w:r>
            <w:r w:rsidRPr="00934B4C">
              <w:t>Modification of final date for comments</w:t>
            </w:r>
          </w:p>
        </w:tc>
      </w:tr>
      <w:tr w:rsidR="00E52191" w14:paraId="06846EEA" w14:textId="77777777" w:rsidTr="00D0271D">
        <w:tc>
          <w:tcPr>
            <w:tcW w:w="9242" w:type="dxa"/>
            <w:shd w:val="clear" w:color="auto" w:fill="auto"/>
          </w:tcPr>
          <w:p w14:paraId="53BFF770" w14:textId="77777777" w:rsidR="00AD0FDA" w:rsidRPr="00934B4C" w:rsidRDefault="00F551FF"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E52191" w14:paraId="07579D82" w14:textId="77777777" w:rsidTr="00D0271D">
        <w:tc>
          <w:tcPr>
            <w:tcW w:w="9242" w:type="dxa"/>
            <w:shd w:val="clear" w:color="auto" w:fill="auto"/>
          </w:tcPr>
          <w:p w14:paraId="219FB7B7" w14:textId="77777777" w:rsidR="00AD0FDA" w:rsidRPr="00934B4C" w:rsidRDefault="00F551FF" w:rsidP="00934B4C">
            <w:pPr>
              <w:ind w:left="1440" w:hanging="873"/>
            </w:pPr>
            <w:r w:rsidRPr="00934B4C">
              <w:t>[</w:t>
            </w:r>
            <w:r w:rsidRPr="00934B4C">
              <w:rPr>
                <w:b/>
                <w:bCs/>
              </w:rPr>
              <w:t>X</w:t>
            </w:r>
            <w:r w:rsidRPr="00934B4C">
              <w:t>]</w:t>
            </w:r>
            <w:r w:rsidRPr="00934B4C">
              <w:tab/>
              <w:t>Modification of content and/or scope of previously notified draft regulation</w:t>
            </w:r>
          </w:p>
        </w:tc>
      </w:tr>
      <w:tr w:rsidR="00E52191" w14:paraId="52292885" w14:textId="77777777" w:rsidTr="00D0271D">
        <w:tc>
          <w:tcPr>
            <w:tcW w:w="9242" w:type="dxa"/>
            <w:shd w:val="clear" w:color="auto" w:fill="auto"/>
          </w:tcPr>
          <w:p w14:paraId="47423647" w14:textId="77777777" w:rsidR="00AD0FDA" w:rsidRPr="00934B4C" w:rsidRDefault="00F551FF" w:rsidP="00934B4C">
            <w:pPr>
              <w:ind w:left="1440" w:hanging="873"/>
            </w:pPr>
            <w:r w:rsidRPr="00934B4C">
              <w:t>[ ]</w:t>
            </w:r>
            <w:r w:rsidRPr="00934B4C">
              <w:tab/>
              <w:t>Withdrawal of proposed regulation</w:t>
            </w:r>
          </w:p>
        </w:tc>
      </w:tr>
      <w:tr w:rsidR="00E52191" w14:paraId="10AEFE44" w14:textId="77777777" w:rsidTr="00D0271D">
        <w:tc>
          <w:tcPr>
            <w:tcW w:w="9242" w:type="dxa"/>
            <w:shd w:val="clear" w:color="auto" w:fill="auto"/>
          </w:tcPr>
          <w:p w14:paraId="10045148" w14:textId="77777777" w:rsidR="00AD0FDA" w:rsidRPr="00934B4C" w:rsidRDefault="00F551FF" w:rsidP="00934B4C">
            <w:pPr>
              <w:ind w:left="1440" w:hanging="873"/>
            </w:pPr>
            <w:r w:rsidRPr="00934B4C">
              <w:t>[</w:t>
            </w:r>
            <w:r w:rsidRPr="00934B4C">
              <w:rPr>
                <w:b/>
                <w:bCs/>
              </w:rPr>
              <w:t>X</w:t>
            </w:r>
            <w:r w:rsidRPr="00934B4C">
              <w:t>]</w:t>
            </w:r>
            <w:r w:rsidRPr="00934B4C">
              <w:tab/>
              <w:t>Change in proposed date of adoption, publication or date of entry into force</w:t>
            </w:r>
          </w:p>
        </w:tc>
      </w:tr>
      <w:tr w:rsidR="00E52191" w14:paraId="2752BF6D" w14:textId="77777777" w:rsidTr="00D0271D">
        <w:tc>
          <w:tcPr>
            <w:tcW w:w="9242" w:type="dxa"/>
            <w:shd w:val="clear" w:color="auto" w:fill="auto"/>
          </w:tcPr>
          <w:p w14:paraId="245D38A4" w14:textId="77777777" w:rsidR="00AD0FDA" w:rsidRPr="00934B4C" w:rsidRDefault="00F551FF" w:rsidP="00934B4C">
            <w:pPr>
              <w:spacing w:after="240"/>
              <w:ind w:left="1440" w:hanging="873"/>
            </w:pPr>
            <w:r w:rsidRPr="00934B4C">
              <w:t>[ ]</w:t>
            </w:r>
            <w:r w:rsidRPr="00934B4C">
              <w:tab/>
              <w:t xml:space="preserve">Other: </w:t>
            </w:r>
          </w:p>
        </w:tc>
      </w:tr>
      <w:tr w:rsidR="00E52191" w14:paraId="3D6575A2" w14:textId="77777777" w:rsidTr="00D0271D">
        <w:tc>
          <w:tcPr>
            <w:tcW w:w="9242" w:type="dxa"/>
            <w:shd w:val="clear" w:color="auto" w:fill="auto"/>
          </w:tcPr>
          <w:p w14:paraId="2C8675E4" w14:textId="77777777" w:rsidR="00AD0FDA" w:rsidRPr="00934B4C" w:rsidRDefault="00F551FF" w:rsidP="00934B4C">
            <w:pPr>
              <w:spacing w:after="240"/>
              <w:rPr>
                <w:b/>
              </w:rPr>
            </w:pPr>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E52191" w14:paraId="60F23A88" w14:textId="77777777" w:rsidTr="00D0271D">
        <w:tc>
          <w:tcPr>
            <w:tcW w:w="9242" w:type="dxa"/>
            <w:shd w:val="clear" w:color="auto" w:fill="auto"/>
          </w:tcPr>
          <w:p w14:paraId="785E9E77" w14:textId="77777777" w:rsidR="00AD0FDA" w:rsidRPr="00934B4C" w:rsidRDefault="00F551FF"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E52191" w14:paraId="216D1336" w14:textId="77777777" w:rsidTr="00D0271D">
        <w:tc>
          <w:tcPr>
            <w:tcW w:w="9242" w:type="dxa"/>
            <w:shd w:val="clear" w:color="auto" w:fill="auto"/>
          </w:tcPr>
          <w:p w14:paraId="47BC649F" w14:textId="77777777" w:rsidR="00AD0FDA" w:rsidRPr="00934B4C" w:rsidRDefault="00F551FF" w:rsidP="00934B4C">
            <w:pPr>
              <w:spacing w:after="240"/>
              <w:rPr>
                <w:b/>
              </w:rPr>
            </w:pPr>
            <w:r w:rsidRPr="00934B4C">
              <w:rPr>
                <w:b/>
              </w:rPr>
              <w:t>Agency or authority designated to handle comments: [X] National Notification Authority, [X] National Enquiry Point. Address, fax number and e-mail address (if available) of other body:</w:t>
            </w:r>
          </w:p>
        </w:tc>
      </w:tr>
      <w:tr w:rsidR="00E52191" w14:paraId="378A3342" w14:textId="77777777" w:rsidTr="00D0271D">
        <w:tc>
          <w:tcPr>
            <w:tcW w:w="9242" w:type="dxa"/>
            <w:shd w:val="clear" w:color="auto" w:fill="auto"/>
          </w:tcPr>
          <w:p w14:paraId="7086C439" w14:textId="77777777" w:rsidR="00AD0FDA" w:rsidRPr="00934B4C" w:rsidRDefault="00F551FF" w:rsidP="00934B4C">
            <w:r w:rsidRPr="00934B4C">
              <w:t xml:space="preserve">Sally Griffin, Coordinator, SPS New Zealand, PO Box 2526, Wellington, New Zealand. Tel: +(64 4) 894 0431; Fax: +(64 4) 894 0733; E-mail: </w:t>
            </w:r>
            <w:hyperlink r:id="rId10" w:history="1">
              <w:r w:rsidRPr="00934B4C">
                <w:rPr>
                  <w:color w:val="0000FF"/>
                  <w:u w:val="single"/>
                </w:rPr>
                <w:t>sps@mpi.govt.nz</w:t>
              </w:r>
            </w:hyperlink>
          </w:p>
          <w:p w14:paraId="7D22B517" w14:textId="77777777" w:rsidR="00AD0FDA" w:rsidRPr="00934B4C" w:rsidRDefault="00F551FF" w:rsidP="00934B4C">
            <w:pPr>
              <w:spacing w:after="240"/>
            </w:pPr>
            <w:r w:rsidRPr="00934B4C">
              <w:t xml:space="preserve">Website: </w:t>
            </w:r>
            <w:hyperlink r:id="rId11" w:history="1">
              <w:r w:rsidRPr="00934B4C">
                <w:rPr>
                  <w:color w:val="0000FF"/>
                  <w:u w:val="single"/>
                </w:rPr>
                <w:t>https://www.mpi.govt.nz/news-and-resources/consultations</w:t>
              </w:r>
            </w:hyperlink>
          </w:p>
        </w:tc>
      </w:tr>
      <w:tr w:rsidR="00E52191" w14:paraId="0301D377" w14:textId="77777777" w:rsidTr="00D0271D">
        <w:tc>
          <w:tcPr>
            <w:tcW w:w="9242" w:type="dxa"/>
            <w:shd w:val="clear" w:color="auto" w:fill="auto"/>
          </w:tcPr>
          <w:p w14:paraId="4BDD4737" w14:textId="77777777" w:rsidR="00AD0FDA" w:rsidRPr="00934B4C" w:rsidRDefault="00F551FF" w:rsidP="00934B4C">
            <w:pPr>
              <w:spacing w:after="240"/>
              <w:rPr>
                <w:b/>
              </w:rPr>
            </w:pPr>
            <w:r w:rsidRPr="00934B4C">
              <w:rPr>
                <w:b/>
              </w:rPr>
              <w:t>Text</w:t>
            </w:r>
            <w:r w:rsidR="00D06EF3" w:rsidRPr="00934B4C">
              <w:rPr>
                <w:b/>
              </w:rPr>
              <w:t>(s)</w:t>
            </w:r>
            <w:r w:rsidRPr="00934B4C">
              <w:rPr>
                <w:b/>
              </w:rPr>
              <w:t xml:space="preserve"> available from: [</w:t>
            </w:r>
            <w:r w:rsidRPr="00F23739">
              <w:rPr>
                <w:b/>
                <w:bCs/>
              </w:rPr>
              <w:t>X</w:t>
            </w:r>
            <w:r w:rsidRPr="00934B4C">
              <w:rPr>
                <w:b/>
              </w:rPr>
              <w:t>] National Notification Authority, [X] National Enquiry Point. Address, fax number and e-mail address (if available) of other body:</w:t>
            </w:r>
          </w:p>
        </w:tc>
      </w:tr>
      <w:tr w:rsidR="00E52191" w14:paraId="05649737" w14:textId="77777777" w:rsidTr="00D0271D">
        <w:tc>
          <w:tcPr>
            <w:tcW w:w="9242" w:type="dxa"/>
            <w:shd w:val="clear" w:color="auto" w:fill="auto"/>
          </w:tcPr>
          <w:p w14:paraId="781A1E78" w14:textId="77777777" w:rsidR="00AD0FDA" w:rsidRPr="00934B4C" w:rsidRDefault="00F551FF" w:rsidP="00934B4C">
            <w:r w:rsidRPr="00934B4C">
              <w:t xml:space="preserve">Sally Griffin, Coordinator, SPS New Zealand, PO Box 2526, Wellington, New Zealand. Tel: +(64 4) 894 0431; Fax: +(64 4) 894 0733; E-mail: </w:t>
            </w:r>
            <w:hyperlink r:id="rId12" w:history="1">
              <w:r w:rsidRPr="00934B4C">
                <w:rPr>
                  <w:color w:val="0000FF"/>
                  <w:u w:val="single"/>
                </w:rPr>
                <w:t>sps@mpi.govt.nz</w:t>
              </w:r>
            </w:hyperlink>
          </w:p>
          <w:p w14:paraId="1D0FE22D" w14:textId="77777777" w:rsidR="00AD0FDA" w:rsidRPr="00934B4C" w:rsidRDefault="00F551FF" w:rsidP="00934B4C">
            <w:r w:rsidRPr="00934B4C">
              <w:t xml:space="preserve">Website: </w:t>
            </w:r>
            <w:hyperlink r:id="rId13" w:history="1">
              <w:r w:rsidRPr="00934B4C">
                <w:rPr>
                  <w:color w:val="0000FF"/>
                  <w:u w:val="single"/>
                </w:rPr>
                <w:t>https://www.mpi.govt.nz/news-and-resources/consultations</w:t>
              </w:r>
            </w:hyperlink>
          </w:p>
        </w:tc>
      </w:tr>
    </w:tbl>
    <w:p w14:paraId="7F09DBAA" w14:textId="77777777" w:rsidR="00AD0FDA" w:rsidRPr="00934B4C" w:rsidRDefault="00AD0FDA" w:rsidP="00934B4C"/>
    <w:p w14:paraId="383CFBEC" w14:textId="77777777" w:rsidR="00AD0FDA" w:rsidRPr="00934B4C" w:rsidRDefault="00F551FF" w:rsidP="00934B4C">
      <w:pPr>
        <w:jc w:val="center"/>
        <w:rPr>
          <w:b/>
        </w:rPr>
      </w:pPr>
      <w:r w:rsidRPr="00934B4C">
        <w:rPr>
          <w:b/>
        </w:rPr>
        <w:t>__________</w:t>
      </w:r>
    </w:p>
    <w:sectPr w:rsidR="00AD0FDA" w:rsidRPr="00934B4C" w:rsidSect="000D2A42">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704E" w14:textId="77777777" w:rsidR="00F551FF" w:rsidRDefault="00F551FF">
      <w:r>
        <w:separator/>
      </w:r>
    </w:p>
  </w:endnote>
  <w:endnote w:type="continuationSeparator" w:id="0">
    <w:p w14:paraId="6F6E733C" w14:textId="77777777" w:rsidR="00F551FF" w:rsidRDefault="00F5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FE64" w14:textId="77777777" w:rsidR="00AD0FDA" w:rsidRPr="000D2A42" w:rsidRDefault="00F551FF" w:rsidP="000D2A4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E137" w14:textId="77777777" w:rsidR="00AD0FDA" w:rsidRPr="000D2A42" w:rsidRDefault="00F551FF" w:rsidP="000D2A4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2EE4" w14:textId="77777777" w:rsidR="009A1BA8" w:rsidRPr="00934B4C" w:rsidRDefault="00F551F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1AEC" w14:textId="77777777" w:rsidR="00F551FF" w:rsidRDefault="00F551FF">
      <w:r>
        <w:separator/>
      </w:r>
    </w:p>
  </w:footnote>
  <w:footnote w:type="continuationSeparator" w:id="0">
    <w:p w14:paraId="447D8788" w14:textId="77777777" w:rsidR="00F551FF" w:rsidRDefault="00F5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C738" w14:textId="77777777" w:rsidR="000D2A42" w:rsidRPr="000D2A42" w:rsidRDefault="00F551FF" w:rsidP="000D2A42">
    <w:pPr>
      <w:pStyle w:val="Header"/>
      <w:pBdr>
        <w:bottom w:val="single" w:sz="4" w:space="1" w:color="auto"/>
      </w:pBdr>
      <w:tabs>
        <w:tab w:val="clear" w:pos="4513"/>
        <w:tab w:val="clear" w:pos="9027"/>
      </w:tabs>
      <w:jc w:val="center"/>
    </w:pPr>
    <w:r w:rsidRPr="000D2A42">
      <w:t>G/SPS/N/NZL/768/Add.1</w:t>
    </w:r>
  </w:p>
  <w:p w14:paraId="1F1174A8" w14:textId="77777777" w:rsidR="000D2A42" w:rsidRPr="000D2A42" w:rsidRDefault="000D2A42" w:rsidP="000D2A42">
    <w:pPr>
      <w:pStyle w:val="Header"/>
      <w:pBdr>
        <w:bottom w:val="single" w:sz="4" w:space="1" w:color="auto"/>
      </w:pBdr>
      <w:tabs>
        <w:tab w:val="clear" w:pos="4513"/>
        <w:tab w:val="clear" w:pos="9027"/>
      </w:tabs>
      <w:jc w:val="center"/>
    </w:pPr>
  </w:p>
  <w:p w14:paraId="7BB5052E" w14:textId="77777777" w:rsidR="000D2A42" w:rsidRPr="000D2A42" w:rsidRDefault="00F551FF" w:rsidP="000D2A42">
    <w:pPr>
      <w:pStyle w:val="Header"/>
      <w:pBdr>
        <w:bottom w:val="single" w:sz="4" w:space="1" w:color="auto"/>
      </w:pBdr>
      <w:tabs>
        <w:tab w:val="clear" w:pos="4513"/>
        <w:tab w:val="clear" w:pos="9027"/>
      </w:tabs>
      <w:jc w:val="center"/>
    </w:pPr>
    <w:r w:rsidRPr="000D2A42">
      <w:t xml:space="preserve">- </w:t>
    </w:r>
    <w:r w:rsidRPr="000D2A42">
      <w:fldChar w:fldCharType="begin"/>
    </w:r>
    <w:r w:rsidRPr="000D2A42">
      <w:instrText xml:space="preserve"> PAGE </w:instrText>
    </w:r>
    <w:r w:rsidRPr="000D2A42">
      <w:fldChar w:fldCharType="separate"/>
    </w:r>
    <w:r w:rsidRPr="000D2A42">
      <w:rPr>
        <w:noProof/>
      </w:rPr>
      <w:t>2</w:t>
    </w:r>
    <w:r w:rsidRPr="000D2A42">
      <w:fldChar w:fldCharType="end"/>
    </w:r>
    <w:r w:rsidRPr="000D2A42">
      <w:t xml:space="preserve"> -</w:t>
    </w:r>
  </w:p>
  <w:p w14:paraId="6A949FBB" w14:textId="77777777" w:rsidR="00AD0FDA" w:rsidRPr="000D2A42" w:rsidRDefault="00AD0FDA" w:rsidP="000D2A4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93D6" w14:textId="77777777" w:rsidR="000D2A42" w:rsidRPr="000D2A42" w:rsidRDefault="00F551FF" w:rsidP="000D2A42">
    <w:pPr>
      <w:pStyle w:val="Header"/>
      <w:pBdr>
        <w:bottom w:val="single" w:sz="4" w:space="1" w:color="auto"/>
      </w:pBdr>
      <w:tabs>
        <w:tab w:val="clear" w:pos="4513"/>
        <w:tab w:val="clear" w:pos="9027"/>
      </w:tabs>
      <w:jc w:val="center"/>
    </w:pPr>
    <w:r w:rsidRPr="000D2A42">
      <w:t>G/SPS/N/NZL/768/Add.1</w:t>
    </w:r>
  </w:p>
  <w:p w14:paraId="1F1B470B" w14:textId="77777777" w:rsidR="000D2A42" w:rsidRPr="000D2A42" w:rsidRDefault="000D2A42" w:rsidP="000D2A42">
    <w:pPr>
      <w:pStyle w:val="Header"/>
      <w:pBdr>
        <w:bottom w:val="single" w:sz="4" w:space="1" w:color="auto"/>
      </w:pBdr>
      <w:tabs>
        <w:tab w:val="clear" w:pos="4513"/>
        <w:tab w:val="clear" w:pos="9027"/>
      </w:tabs>
      <w:jc w:val="center"/>
    </w:pPr>
  </w:p>
  <w:p w14:paraId="748143B7" w14:textId="77777777" w:rsidR="000D2A42" w:rsidRPr="000D2A42" w:rsidRDefault="00F551FF" w:rsidP="000D2A42">
    <w:pPr>
      <w:pStyle w:val="Header"/>
      <w:pBdr>
        <w:bottom w:val="single" w:sz="4" w:space="1" w:color="auto"/>
      </w:pBdr>
      <w:tabs>
        <w:tab w:val="clear" w:pos="4513"/>
        <w:tab w:val="clear" w:pos="9027"/>
      </w:tabs>
      <w:jc w:val="center"/>
    </w:pPr>
    <w:r w:rsidRPr="000D2A42">
      <w:t xml:space="preserve">- </w:t>
    </w:r>
    <w:r w:rsidRPr="000D2A42">
      <w:fldChar w:fldCharType="begin"/>
    </w:r>
    <w:r w:rsidRPr="000D2A42">
      <w:instrText xml:space="preserve"> PAGE </w:instrText>
    </w:r>
    <w:r w:rsidRPr="000D2A42">
      <w:fldChar w:fldCharType="separate"/>
    </w:r>
    <w:r w:rsidRPr="000D2A42">
      <w:rPr>
        <w:noProof/>
      </w:rPr>
      <w:t>2</w:t>
    </w:r>
    <w:r w:rsidRPr="000D2A42">
      <w:fldChar w:fldCharType="end"/>
    </w:r>
    <w:r w:rsidRPr="000D2A42">
      <w:t xml:space="preserve"> -</w:t>
    </w:r>
  </w:p>
  <w:p w14:paraId="1E0FB1B4" w14:textId="77777777" w:rsidR="00AD0FDA" w:rsidRPr="000D2A42" w:rsidRDefault="00AD0FDA" w:rsidP="000D2A4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52191" w14:paraId="4FDFBB00" w14:textId="77777777" w:rsidTr="00B13A58">
      <w:trPr>
        <w:trHeight w:val="240"/>
        <w:jc w:val="center"/>
      </w:trPr>
      <w:tc>
        <w:tcPr>
          <w:tcW w:w="3794" w:type="dxa"/>
          <w:shd w:val="clear" w:color="auto" w:fill="FFFFFF"/>
          <w:tcMar>
            <w:left w:w="108" w:type="dxa"/>
            <w:right w:w="108" w:type="dxa"/>
          </w:tcMar>
          <w:vAlign w:val="center"/>
        </w:tcPr>
        <w:p w14:paraId="6D38722B"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980DE5F" w14:textId="77777777" w:rsidR="00ED54E0" w:rsidRPr="00AD0FDA" w:rsidRDefault="00F551FF" w:rsidP="0081481D">
          <w:pPr>
            <w:jc w:val="right"/>
            <w:rPr>
              <w:b/>
              <w:color w:val="FF0000"/>
              <w:szCs w:val="16"/>
            </w:rPr>
          </w:pPr>
          <w:r>
            <w:rPr>
              <w:b/>
              <w:color w:val="FF0000"/>
              <w:szCs w:val="16"/>
            </w:rPr>
            <w:t xml:space="preserve"> </w:t>
          </w:r>
        </w:p>
      </w:tc>
    </w:tr>
    <w:bookmarkEnd w:id="0"/>
    <w:tr w:rsidR="00E52191" w14:paraId="6B8295B5" w14:textId="77777777" w:rsidTr="00B13A58">
      <w:trPr>
        <w:trHeight w:val="213"/>
        <w:jc w:val="center"/>
      </w:trPr>
      <w:tc>
        <w:tcPr>
          <w:tcW w:w="3794" w:type="dxa"/>
          <w:vMerge w:val="restart"/>
          <w:shd w:val="clear" w:color="auto" w:fill="FFFFFF"/>
          <w:tcMar>
            <w:left w:w="0" w:type="dxa"/>
            <w:right w:w="0" w:type="dxa"/>
          </w:tcMar>
        </w:tcPr>
        <w:p w14:paraId="5515DCB2" w14:textId="77777777" w:rsidR="00ED54E0" w:rsidRPr="00AD0FDA" w:rsidRDefault="00F551FF" w:rsidP="0081481D">
          <w:pPr>
            <w:jc w:val="left"/>
          </w:pPr>
          <w:r>
            <w:rPr>
              <w:noProof/>
              <w:lang w:eastAsia="en-GB"/>
            </w:rPr>
            <w:drawing>
              <wp:inline distT="0" distB="0" distL="0" distR="0" wp14:anchorId="0E7B1E7D" wp14:editId="244D54D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737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2C06F82" w14:textId="77777777" w:rsidR="00ED54E0" w:rsidRPr="00AD0FDA" w:rsidRDefault="00ED54E0" w:rsidP="0081481D">
          <w:pPr>
            <w:jc w:val="right"/>
            <w:rPr>
              <w:b/>
              <w:szCs w:val="16"/>
            </w:rPr>
          </w:pPr>
        </w:p>
      </w:tc>
    </w:tr>
    <w:tr w:rsidR="00E52191" w14:paraId="2D04EA20" w14:textId="77777777" w:rsidTr="00B13A58">
      <w:trPr>
        <w:trHeight w:val="868"/>
        <w:jc w:val="center"/>
      </w:trPr>
      <w:tc>
        <w:tcPr>
          <w:tcW w:w="3794" w:type="dxa"/>
          <w:vMerge/>
          <w:shd w:val="clear" w:color="auto" w:fill="FFFFFF"/>
          <w:tcMar>
            <w:left w:w="108" w:type="dxa"/>
            <w:right w:w="108" w:type="dxa"/>
          </w:tcMar>
        </w:tcPr>
        <w:p w14:paraId="0BB6258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5CAB815" w14:textId="77777777" w:rsidR="000D2A42" w:rsidRDefault="00F551FF" w:rsidP="0081481D">
          <w:pPr>
            <w:jc w:val="right"/>
            <w:rPr>
              <w:b/>
              <w:szCs w:val="16"/>
            </w:rPr>
          </w:pPr>
          <w:bookmarkStart w:id="1" w:name="bmkSymbols"/>
          <w:r>
            <w:rPr>
              <w:b/>
              <w:szCs w:val="16"/>
            </w:rPr>
            <w:t>G/SPS/N/NZL/768/Add.1</w:t>
          </w:r>
          <w:bookmarkEnd w:id="1"/>
        </w:p>
      </w:tc>
    </w:tr>
    <w:tr w:rsidR="00E52191" w14:paraId="6CBD336E" w14:textId="77777777" w:rsidTr="00B13A58">
      <w:trPr>
        <w:trHeight w:val="240"/>
        <w:jc w:val="center"/>
      </w:trPr>
      <w:tc>
        <w:tcPr>
          <w:tcW w:w="3794" w:type="dxa"/>
          <w:vMerge/>
          <w:shd w:val="clear" w:color="auto" w:fill="FFFFFF"/>
          <w:tcMar>
            <w:left w:w="108" w:type="dxa"/>
            <w:right w:w="108" w:type="dxa"/>
          </w:tcMar>
          <w:vAlign w:val="center"/>
        </w:tcPr>
        <w:p w14:paraId="3096A811" w14:textId="77777777" w:rsidR="00ED54E0" w:rsidRPr="00AD0FDA" w:rsidRDefault="00ED54E0" w:rsidP="0081481D"/>
      </w:tc>
      <w:tc>
        <w:tcPr>
          <w:tcW w:w="5448" w:type="dxa"/>
          <w:gridSpan w:val="2"/>
          <w:shd w:val="clear" w:color="auto" w:fill="FFFFFF"/>
          <w:tcMar>
            <w:left w:w="108" w:type="dxa"/>
            <w:right w:w="108" w:type="dxa"/>
          </w:tcMar>
          <w:vAlign w:val="center"/>
        </w:tcPr>
        <w:p w14:paraId="1EBA50DF" w14:textId="3CFF4D21" w:rsidR="00ED54E0" w:rsidRPr="00AD0FDA" w:rsidRDefault="00F551FF" w:rsidP="0081481D">
          <w:pPr>
            <w:jc w:val="right"/>
            <w:rPr>
              <w:szCs w:val="16"/>
            </w:rPr>
          </w:pPr>
          <w:bookmarkStart w:id="2" w:name="bmkDate"/>
          <w:bookmarkStart w:id="3" w:name="spsDateDistribution"/>
          <w:bookmarkEnd w:id="2"/>
          <w:bookmarkEnd w:id="3"/>
          <w:r>
            <w:rPr>
              <w:szCs w:val="16"/>
            </w:rPr>
            <w:t>24 September 2024</w:t>
          </w:r>
        </w:p>
      </w:tc>
    </w:tr>
    <w:tr w:rsidR="00E52191" w14:paraId="48E4796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6AFA8C" w14:textId="4BF48924" w:rsidR="00ED54E0" w:rsidRPr="00AD0FDA" w:rsidRDefault="00F551FF"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470201">
            <w:rPr>
              <w:color w:val="FF0000"/>
              <w:szCs w:val="16"/>
            </w:rPr>
            <w:t>6543</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701AA2CD" w14:textId="77777777" w:rsidR="00ED54E0" w:rsidRPr="00AD0FDA" w:rsidRDefault="00F551FF"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E52191" w14:paraId="5AE9806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0131442" w14:textId="77777777" w:rsidR="00ED54E0" w:rsidRPr="00AD0FDA" w:rsidRDefault="00F551FF"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6FCCA4A" w14:textId="77777777" w:rsidR="00ED54E0" w:rsidRPr="00934B4C" w:rsidRDefault="00F551FF" w:rsidP="00F342EB">
          <w:pPr>
            <w:jc w:val="right"/>
            <w:rPr>
              <w:bCs/>
              <w:szCs w:val="18"/>
            </w:rPr>
          </w:pPr>
          <w:bookmarkStart w:id="8" w:name="bmkLanguage"/>
          <w:r>
            <w:rPr>
              <w:bCs/>
              <w:szCs w:val="18"/>
            </w:rPr>
            <w:t>Original: English</w:t>
          </w:r>
          <w:bookmarkEnd w:id="8"/>
        </w:p>
      </w:tc>
    </w:tr>
  </w:tbl>
  <w:p w14:paraId="4AF0D3B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8120F7A">
      <w:start w:val="1"/>
      <w:numFmt w:val="decimal"/>
      <w:pStyle w:val="SummaryText"/>
      <w:lvlText w:val="%1."/>
      <w:lvlJc w:val="left"/>
      <w:pPr>
        <w:ind w:left="360" w:hanging="360"/>
      </w:pPr>
    </w:lvl>
    <w:lvl w:ilvl="1" w:tplc="1A0A7786" w:tentative="1">
      <w:start w:val="1"/>
      <w:numFmt w:val="lowerLetter"/>
      <w:lvlText w:val="%2."/>
      <w:lvlJc w:val="left"/>
      <w:pPr>
        <w:ind w:left="1080" w:hanging="360"/>
      </w:pPr>
    </w:lvl>
    <w:lvl w:ilvl="2" w:tplc="EEBE87D0" w:tentative="1">
      <w:start w:val="1"/>
      <w:numFmt w:val="lowerRoman"/>
      <w:lvlText w:val="%3."/>
      <w:lvlJc w:val="right"/>
      <w:pPr>
        <w:ind w:left="1800" w:hanging="180"/>
      </w:pPr>
    </w:lvl>
    <w:lvl w:ilvl="3" w:tplc="D7BABB42" w:tentative="1">
      <w:start w:val="1"/>
      <w:numFmt w:val="decimal"/>
      <w:lvlText w:val="%4."/>
      <w:lvlJc w:val="left"/>
      <w:pPr>
        <w:ind w:left="2520" w:hanging="360"/>
      </w:pPr>
    </w:lvl>
    <w:lvl w:ilvl="4" w:tplc="52609580" w:tentative="1">
      <w:start w:val="1"/>
      <w:numFmt w:val="lowerLetter"/>
      <w:lvlText w:val="%5."/>
      <w:lvlJc w:val="left"/>
      <w:pPr>
        <w:ind w:left="3240" w:hanging="360"/>
      </w:pPr>
    </w:lvl>
    <w:lvl w:ilvl="5" w:tplc="E0C0B60A" w:tentative="1">
      <w:start w:val="1"/>
      <w:numFmt w:val="lowerRoman"/>
      <w:lvlText w:val="%6."/>
      <w:lvlJc w:val="right"/>
      <w:pPr>
        <w:ind w:left="3960" w:hanging="180"/>
      </w:pPr>
    </w:lvl>
    <w:lvl w:ilvl="6" w:tplc="2BB2D79E" w:tentative="1">
      <w:start w:val="1"/>
      <w:numFmt w:val="decimal"/>
      <w:lvlText w:val="%7."/>
      <w:lvlJc w:val="left"/>
      <w:pPr>
        <w:ind w:left="4680" w:hanging="360"/>
      </w:pPr>
    </w:lvl>
    <w:lvl w:ilvl="7" w:tplc="5A944BDE" w:tentative="1">
      <w:start w:val="1"/>
      <w:numFmt w:val="lowerLetter"/>
      <w:lvlText w:val="%8."/>
      <w:lvlJc w:val="left"/>
      <w:pPr>
        <w:ind w:left="5400" w:hanging="360"/>
      </w:pPr>
    </w:lvl>
    <w:lvl w:ilvl="8" w:tplc="0BA6373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D9AB17C">
      <w:start w:val="1"/>
      <w:numFmt w:val="bullet"/>
      <w:lvlText w:val=""/>
      <w:lvlJc w:val="left"/>
      <w:pPr>
        <w:ind w:left="720" w:hanging="360"/>
      </w:pPr>
      <w:rPr>
        <w:rFonts w:ascii="Symbol" w:hAnsi="Symbol"/>
      </w:rPr>
    </w:lvl>
    <w:lvl w:ilvl="1" w:tplc="81562A8A">
      <w:start w:val="1"/>
      <w:numFmt w:val="bullet"/>
      <w:lvlText w:val="o"/>
      <w:lvlJc w:val="left"/>
      <w:pPr>
        <w:tabs>
          <w:tab w:val="num" w:pos="1440"/>
        </w:tabs>
        <w:ind w:left="1440" w:hanging="360"/>
      </w:pPr>
      <w:rPr>
        <w:rFonts w:ascii="Courier New" w:hAnsi="Courier New"/>
      </w:rPr>
    </w:lvl>
    <w:lvl w:ilvl="2" w:tplc="73ECA6D2">
      <w:start w:val="1"/>
      <w:numFmt w:val="bullet"/>
      <w:lvlText w:val=""/>
      <w:lvlJc w:val="left"/>
      <w:pPr>
        <w:tabs>
          <w:tab w:val="num" w:pos="2160"/>
        </w:tabs>
        <w:ind w:left="2160" w:hanging="360"/>
      </w:pPr>
      <w:rPr>
        <w:rFonts w:ascii="Wingdings" w:hAnsi="Wingdings"/>
      </w:rPr>
    </w:lvl>
    <w:lvl w:ilvl="3" w:tplc="347A8E34">
      <w:start w:val="1"/>
      <w:numFmt w:val="bullet"/>
      <w:lvlText w:val=""/>
      <w:lvlJc w:val="left"/>
      <w:pPr>
        <w:tabs>
          <w:tab w:val="num" w:pos="2880"/>
        </w:tabs>
        <w:ind w:left="2880" w:hanging="360"/>
      </w:pPr>
      <w:rPr>
        <w:rFonts w:ascii="Symbol" w:hAnsi="Symbol"/>
      </w:rPr>
    </w:lvl>
    <w:lvl w:ilvl="4" w:tplc="C3AE76FC">
      <w:start w:val="1"/>
      <w:numFmt w:val="bullet"/>
      <w:lvlText w:val="o"/>
      <w:lvlJc w:val="left"/>
      <w:pPr>
        <w:tabs>
          <w:tab w:val="num" w:pos="3600"/>
        </w:tabs>
        <w:ind w:left="3600" w:hanging="360"/>
      </w:pPr>
      <w:rPr>
        <w:rFonts w:ascii="Courier New" w:hAnsi="Courier New"/>
      </w:rPr>
    </w:lvl>
    <w:lvl w:ilvl="5" w:tplc="054A290A">
      <w:start w:val="1"/>
      <w:numFmt w:val="bullet"/>
      <w:lvlText w:val=""/>
      <w:lvlJc w:val="left"/>
      <w:pPr>
        <w:tabs>
          <w:tab w:val="num" w:pos="4320"/>
        </w:tabs>
        <w:ind w:left="4320" w:hanging="360"/>
      </w:pPr>
      <w:rPr>
        <w:rFonts w:ascii="Wingdings" w:hAnsi="Wingdings"/>
      </w:rPr>
    </w:lvl>
    <w:lvl w:ilvl="6" w:tplc="BF22FEFA">
      <w:start w:val="1"/>
      <w:numFmt w:val="bullet"/>
      <w:lvlText w:val=""/>
      <w:lvlJc w:val="left"/>
      <w:pPr>
        <w:tabs>
          <w:tab w:val="num" w:pos="5040"/>
        </w:tabs>
        <w:ind w:left="5040" w:hanging="360"/>
      </w:pPr>
      <w:rPr>
        <w:rFonts w:ascii="Symbol" w:hAnsi="Symbol"/>
      </w:rPr>
    </w:lvl>
    <w:lvl w:ilvl="7" w:tplc="732825F4">
      <w:start w:val="1"/>
      <w:numFmt w:val="bullet"/>
      <w:lvlText w:val="o"/>
      <w:lvlJc w:val="left"/>
      <w:pPr>
        <w:tabs>
          <w:tab w:val="num" w:pos="5760"/>
        </w:tabs>
        <w:ind w:left="5760" w:hanging="360"/>
      </w:pPr>
      <w:rPr>
        <w:rFonts w:ascii="Courier New" w:hAnsi="Courier New"/>
      </w:rPr>
    </w:lvl>
    <w:lvl w:ilvl="8" w:tplc="4516E72A">
      <w:start w:val="1"/>
      <w:numFmt w:val="bullet"/>
      <w:lvlText w:val=""/>
      <w:lvlJc w:val="left"/>
      <w:pPr>
        <w:tabs>
          <w:tab w:val="num" w:pos="6480"/>
        </w:tabs>
        <w:ind w:left="6480" w:hanging="360"/>
      </w:pPr>
      <w:rPr>
        <w:rFonts w:ascii="Wingdings" w:hAnsi="Wingdings"/>
      </w:rPr>
    </w:lvl>
  </w:abstractNum>
  <w:num w:numId="1" w16cid:durableId="567806417">
    <w:abstractNumId w:val="9"/>
  </w:num>
  <w:num w:numId="2" w16cid:durableId="1522237250">
    <w:abstractNumId w:val="7"/>
  </w:num>
  <w:num w:numId="3" w16cid:durableId="1541815801">
    <w:abstractNumId w:val="6"/>
  </w:num>
  <w:num w:numId="4" w16cid:durableId="483740925">
    <w:abstractNumId w:val="5"/>
  </w:num>
  <w:num w:numId="5" w16cid:durableId="1821919365">
    <w:abstractNumId w:val="4"/>
  </w:num>
  <w:num w:numId="6" w16cid:durableId="1658803365">
    <w:abstractNumId w:val="12"/>
  </w:num>
  <w:num w:numId="7" w16cid:durableId="79789483">
    <w:abstractNumId w:val="11"/>
  </w:num>
  <w:num w:numId="8" w16cid:durableId="1984307121">
    <w:abstractNumId w:val="10"/>
  </w:num>
  <w:num w:numId="9" w16cid:durableId="1043409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707286">
    <w:abstractNumId w:val="13"/>
  </w:num>
  <w:num w:numId="11" w16cid:durableId="641275021">
    <w:abstractNumId w:val="8"/>
  </w:num>
  <w:num w:numId="12" w16cid:durableId="534463852">
    <w:abstractNumId w:val="3"/>
  </w:num>
  <w:num w:numId="13" w16cid:durableId="1831015757">
    <w:abstractNumId w:val="2"/>
  </w:num>
  <w:num w:numId="14" w16cid:durableId="1368338344">
    <w:abstractNumId w:val="1"/>
  </w:num>
  <w:num w:numId="15" w16cid:durableId="157112467">
    <w:abstractNumId w:val="0"/>
  </w:num>
  <w:num w:numId="16" w16cid:durableId="17180471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D2A42"/>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70201"/>
    <w:rsid w:val="004914DB"/>
    <w:rsid w:val="004D5C57"/>
    <w:rsid w:val="004F203A"/>
    <w:rsid w:val="005336B8"/>
    <w:rsid w:val="005370A7"/>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D44AB"/>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E57D3"/>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2191"/>
    <w:rsid w:val="00E544BB"/>
    <w:rsid w:val="00E56545"/>
    <w:rsid w:val="00EA5D4F"/>
    <w:rsid w:val="00EB6C56"/>
    <w:rsid w:val="00ED54E0"/>
    <w:rsid w:val="00EF29E8"/>
    <w:rsid w:val="00EF7E3C"/>
    <w:rsid w:val="00F23739"/>
    <w:rsid w:val="00F32397"/>
    <w:rsid w:val="00F342EB"/>
    <w:rsid w:val="00F40595"/>
    <w:rsid w:val="00F551FF"/>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E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AE57D3"/>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dmsdocument/1151-Seeds-for-Sowing-Import-Health-Standard" TargetMode="External"/><Relationship Id="rId13" Type="http://schemas.openxmlformats.org/officeDocument/2006/relationships/hyperlink" Target="https://www.mpi.govt.nz/news-and-resources/consultations/?opened=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ps@mpi.govt.n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s@mpi.govt.n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4/SPS/NZL/24_06048_00_e.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7582ec74-15f4-4d80-9e60-98d341e275ce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9DBFF48-0B48-4D3B-B140-C2C0CFE35A7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17</cp:revision>
  <dcterms:created xsi:type="dcterms:W3CDTF">2018-10-15T07:09:00Z</dcterms:created>
  <dcterms:modified xsi:type="dcterms:W3CDTF">2024-09-24T06:30:00Z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G/SPS/N/NZL/768/Add.1</vt:lpwstr>
  </property>
  <property fmtid="{D5CDD505-2E9C-101B-9397-08002B2CF9AE}" pid="3" name="TitusGUID">
    <vt:lpwstr>7582ec74-15f4-4d80-9e60-98d341e275ce</vt:lpwstr>
  </property>
  <property fmtid="{D5CDD505-2E9C-101B-9397-08002B2CF9AE}" pid="4" name="WTOCLASSIFICATION">
    <vt:lpwstr>WTO OFFICIAL</vt:lpwstr>
  </property>
</Properties>
</file>