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B6" w:rsidRPr="00656ABC" w:rsidRDefault="005E53B6" w:rsidP="005E53B6">
      <w:pPr>
        <w:pStyle w:val="Title"/>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5E53B6" w:rsidRPr="00656ABC" w:rsidTr="005E53B6">
        <w:trPr>
          <w:jc w:val="center"/>
        </w:trPr>
        <w:tc>
          <w:tcPr>
            <w:tcW w:w="707" w:type="dxa"/>
            <w:shd w:val="clear" w:color="auto" w:fill="auto"/>
          </w:tcPr>
          <w:p w:rsidR="005E53B6" w:rsidRPr="00656ABC" w:rsidRDefault="005E53B6" w:rsidP="005E53B6">
            <w:pPr>
              <w:spacing w:before="120" w:after="120"/>
              <w:jc w:val="left"/>
            </w:pPr>
            <w:r w:rsidRPr="00656ABC">
              <w:rPr>
                <w:b/>
              </w:rPr>
              <w:t>1.</w:t>
            </w:r>
          </w:p>
        </w:tc>
        <w:tc>
          <w:tcPr>
            <w:tcW w:w="8320" w:type="dxa"/>
            <w:shd w:val="clear" w:color="auto" w:fill="auto"/>
          </w:tcPr>
          <w:p w:rsidR="005E53B6" w:rsidRPr="00656ABC" w:rsidRDefault="005E53B6" w:rsidP="005E53B6">
            <w:pPr>
              <w:spacing w:before="120" w:after="120"/>
            </w:pPr>
            <w:r w:rsidRPr="00656ABC">
              <w:rPr>
                <w:b/>
              </w:rPr>
              <w:t xml:space="preserve">Notifying Member: </w:t>
            </w:r>
            <w:bookmarkStart w:id="0" w:name="sps1a"/>
            <w:r w:rsidRPr="00656ABC">
              <w:rPr>
                <w:caps/>
                <w:u w:val="single"/>
              </w:rPr>
              <w:t>Singapore</w:t>
            </w:r>
            <w:bookmarkEnd w:id="0"/>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5E53B6" w:rsidRPr="00656ABC" w:rsidRDefault="005E53B6" w:rsidP="005E53B6">
            <w:pPr>
              <w:spacing w:after="120"/>
            </w:pPr>
            <w:r w:rsidRPr="00656ABC">
              <w:rPr>
                <w:b/>
                <w:bCs/>
              </w:rPr>
              <w:t xml:space="preserve">If applicable, name of local government involved: </w:t>
            </w:r>
            <w:bookmarkStart w:id="1" w:name="sps1b"/>
            <w:bookmarkEnd w:id="1"/>
          </w:p>
        </w:tc>
      </w:tr>
      <w:tr w:rsidR="005E53B6" w:rsidRPr="00656ABC" w:rsidTr="005E53B6">
        <w:trPr>
          <w:jc w:val="center"/>
        </w:trPr>
        <w:tc>
          <w:tcPr>
            <w:tcW w:w="707" w:type="dxa"/>
            <w:shd w:val="clear" w:color="auto" w:fill="auto"/>
          </w:tcPr>
          <w:p w:rsidR="005E53B6" w:rsidRPr="00656ABC" w:rsidRDefault="005E53B6" w:rsidP="005E53B6">
            <w:pPr>
              <w:spacing w:before="120" w:after="120"/>
              <w:jc w:val="left"/>
            </w:pPr>
            <w:r w:rsidRPr="00656ABC">
              <w:rPr>
                <w:b/>
              </w:rPr>
              <w:t>2.</w:t>
            </w:r>
          </w:p>
        </w:tc>
        <w:tc>
          <w:tcPr>
            <w:tcW w:w="8320" w:type="dxa"/>
            <w:shd w:val="clear" w:color="auto" w:fill="auto"/>
          </w:tcPr>
          <w:p w:rsidR="005E53B6" w:rsidRPr="00656ABC" w:rsidRDefault="005E53B6" w:rsidP="005E53B6">
            <w:pPr>
              <w:spacing w:before="120" w:after="120"/>
            </w:pPr>
            <w:r w:rsidRPr="00656ABC">
              <w:rPr>
                <w:b/>
              </w:rPr>
              <w:t xml:space="preserve">Agency responsible: </w:t>
            </w:r>
            <w:proofErr w:type="spellStart"/>
            <w:r>
              <w:t>Agri</w:t>
            </w:r>
            <w:proofErr w:type="spellEnd"/>
            <w:r>
              <w:t>-Food and Veterinary Authority of Singapore (AVA)</w:t>
            </w:r>
            <w:bookmarkStart w:id="2" w:name="sps2a"/>
            <w:bookmarkEnd w:id="2"/>
          </w:p>
        </w:tc>
      </w:tr>
      <w:tr w:rsidR="005E53B6" w:rsidRPr="00656ABC" w:rsidTr="005E53B6">
        <w:trPr>
          <w:jc w:val="center"/>
        </w:trPr>
        <w:tc>
          <w:tcPr>
            <w:tcW w:w="707" w:type="dxa"/>
            <w:shd w:val="clear" w:color="auto" w:fill="auto"/>
          </w:tcPr>
          <w:p w:rsidR="005E53B6" w:rsidRPr="00656ABC" w:rsidRDefault="005E53B6" w:rsidP="005E53B6">
            <w:pPr>
              <w:spacing w:before="120" w:after="120"/>
              <w:jc w:val="left"/>
            </w:pPr>
            <w:r w:rsidRPr="00656ABC">
              <w:rPr>
                <w:b/>
              </w:rPr>
              <w:t>3.</w:t>
            </w:r>
          </w:p>
        </w:tc>
        <w:tc>
          <w:tcPr>
            <w:tcW w:w="8320" w:type="dxa"/>
            <w:shd w:val="clear" w:color="auto" w:fill="auto"/>
          </w:tcPr>
          <w:p w:rsidR="005E53B6" w:rsidRPr="00656ABC" w:rsidRDefault="005E53B6" w:rsidP="005E53B6">
            <w:pPr>
              <w:spacing w:before="120" w:after="120"/>
            </w:pPr>
            <w:r w:rsidRPr="00656ABC">
              <w:rPr>
                <w:b/>
              </w:rPr>
              <w:t xml:space="preserve">Products covered (provide tariff item number(s) as specified in national schedules deposited with the WTO; ICS numbers should be provided in addition, where applicable): </w:t>
            </w:r>
            <w:r>
              <w:t>Ready-to-eat food</w:t>
            </w:r>
            <w:bookmarkStart w:id="3" w:name="sps3a"/>
            <w:bookmarkEnd w:id="3"/>
          </w:p>
        </w:tc>
      </w:tr>
      <w:tr w:rsidR="005E53B6" w:rsidRPr="00656ABC" w:rsidTr="005E53B6">
        <w:trPr>
          <w:jc w:val="center"/>
        </w:trPr>
        <w:tc>
          <w:tcPr>
            <w:tcW w:w="707" w:type="dxa"/>
            <w:shd w:val="clear" w:color="auto" w:fill="auto"/>
          </w:tcPr>
          <w:p w:rsidR="005E53B6" w:rsidRPr="00656ABC" w:rsidRDefault="005E53B6" w:rsidP="005E53B6">
            <w:pPr>
              <w:spacing w:before="120" w:after="120"/>
              <w:jc w:val="left"/>
              <w:rPr>
                <w:b/>
              </w:rPr>
            </w:pPr>
            <w:r w:rsidRPr="00656ABC">
              <w:rPr>
                <w:b/>
              </w:rPr>
              <w:t>4.</w:t>
            </w:r>
          </w:p>
        </w:tc>
        <w:tc>
          <w:tcPr>
            <w:tcW w:w="8320" w:type="dxa"/>
            <w:shd w:val="clear" w:color="auto" w:fill="auto"/>
          </w:tcPr>
          <w:p w:rsidR="005E53B6" w:rsidRPr="00656ABC" w:rsidRDefault="005E53B6" w:rsidP="005E53B6">
            <w:pPr>
              <w:spacing w:before="120" w:after="120"/>
              <w:rPr>
                <w:b/>
                <w:bCs/>
              </w:rPr>
            </w:pPr>
            <w:r w:rsidRPr="00656ABC">
              <w:rPr>
                <w:b/>
              </w:rPr>
              <w:t>Regions or countries likely to be affected, to the extent relevant or practicable</w:t>
            </w:r>
            <w:r w:rsidRPr="00656ABC">
              <w:rPr>
                <w:b/>
                <w:bCs/>
              </w:rPr>
              <w:t>:</w:t>
            </w:r>
          </w:p>
          <w:p w:rsidR="005E53B6" w:rsidRPr="00656ABC" w:rsidRDefault="005E53B6" w:rsidP="005E53B6">
            <w:pPr>
              <w:spacing w:after="120"/>
              <w:ind w:left="607" w:hanging="607"/>
              <w:rPr>
                <w:b/>
              </w:rPr>
            </w:pPr>
            <w:r w:rsidRPr="00656ABC">
              <w:rPr>
                <w:b/>
              </w:rPr>
              <w:t>[</w:t>
            </w:r>
            <w:bookmarkStart w:id="4" w:name="sps4b"/>
            <w:r w:rsidRPr="00656ABC">
              <w:rPr>
                <w:b/>
              </w:rPr>
              <w:t>X</w:t>
            </w:r>
            <w:bookmarkEnd w:id="4"/>
            <w:r w:rsidRPr="00656ABC">
              <w:rPr>
                <w:b/>
              </w:rPr>
              <w:t>]</w:t>
            </w:r>
            <w:r w:rsidRPr="00656ABC">
              <w:rPr>
                <w:b/>
              </w:rPr>
              <w:tab/>
              <w:t xml:space="preserve">All trading partners </w:t>
            </w:r>
            <w:bookmarkStart w:id="5" w:name="sps4bbis"/>
            <w:bookmarkEnd w:id="5"/>
          </w:p>
          <w:p w:rsidR="005E53B6" w:rsidRPr="00656ABC" w:rsidRDefault="005E53B6" w:rsidP="005E53B6">
            <w:pPr>
              <w:spacing w:after="120"/>
              <w:ind w:left="607" w:hanging="607"/>
              <w:rPr>
                <w:b/>
              </w:rPr>
            </w:pPr>
            <w:r w:rsidRPr="00656ABC">
              <w:rPr>
                <w:b/>
                <w:bCs/>
              </w:rPr>
              <w:t>[ ]</w:t>
            </w:r>
            <w:bookmarkStart w:id="6" w:name="sps4abis"/>
            <w:bookmarkEnd w:id="6"/>
            <w:r w:rsidRPr="00656ABC">
              <w:rPr>
                <w:b/>
                <w:bCs/>
              </w:rPr>
              <w:tab/>
              <w:t xml:space="preserve">Specific regions or countries: </w:t>
            </w:r>
            <w:bookmarkStart w:id="7" w:name="sps4a"/>
            <w:bookmarkEnd w:id="7"/>
          </w:p>
        </w:tc>
      </w:tr>
      <w:tr w:rsidR="005E53B6" w:rsidTr="006743EA">
        <w:trPr>
          <w:jc w:val="center"/>
        </w:trPr>
        <w:tc>
          <w:tcPr>
            <w:tcW w:w="707" w:type="dxa"/>
            <w:tcBorders>
              <w:bottom w:val="single" w:sz="4" w:space="0" w:color="auto"/>
            </w:tcBorders>
            <w:shd w:val="clear" w:color="auto" w:fill="auto"/>
          </w:tcPr>
          <w:p w:rsidR="005E53B6" w:rsidRPr="00656ABC" w:rsidRDefault="005E53B6" w:rsidP="005E53B6">
            <w:pPr>
              <w:spacing w:before="120" w:after="120"/>
              <w:jc w:val="left"/>
            </w:pPr>
            <w:r w:rsidRPr="00656ABC">
              <w:rPr>
                <w:b/>
              </w:rPr>
              <w:t>5.</w:t>
            </w:r>
          </w:p>
        </w:tc>
        <w:tc>
          <w:tcPr>
            <w:tcW w:w="8320" w:type="dxa"/>
            <w:tcBorders>
              <w:bottom w:val="single" w:sz="4" w:space="0" w:color="auto"/>
            </w:tcBorders>
            <w:shd w:val="clear" w:color="auto" w:fill="auto"/>
          </w:tcPr>
          <w:p w:rsidR="005E53B6" w:rsidRDefault="005E53B6" w:rsidP="00E465CE">
            <w:pPr>
              <w:spacing w:before="120" w:after="120"/>
            </w:pPr>
            <w:r w:rsidRPr="00656ABC">
              <w:rPr>
                <w:b/>
              </w:rPr>
              <w:t xml:space="preserve">Title of the notified document: </w:t>
            </w:r>
            <w:r>
              <w:t>Food Regulations</w:t>
            </w:r>
            <w:bookmarkStart w:id="8" w:name="sps5a"/>
            <w:bookmarkEnd w:id="8"/>
            <w:r>
              <w:t>.</w:t>
            </w:r>
            <w:r w:rsidRPr="00656ABC">
              <w:rPr>
                <w:b/>
              </w:rPr>
              <w:t xml:space="preserve"> Language(s): </w:t>
            </w:r>
            <w:bookmarkStart w:id="9" w:name="sps5b"/>
            <w:r w:rsidRPr="00656ABC">
              <w:rPr>
                <w:bCs/>
              </w:rPr>
              <w:t>English</w:t>
            </w:r>
            <w:bookmarkEnd w:id="9"/>
            <w:r>
              <w:rPr>
                <w:bCs/>
              </w:rPr>
              <w:t>.</w:t>
            </w:r>
            <w:r w:rsidRPr="00656ABC">
              <w:t xml:space="preserve"> </w:t>
            </w:r>
            <w:r w:rsidRPr="00656ABC">
              <w:rPr>
                <w:b/>
              </w:rPr>
              <w:t xml:space="preserve">Number of pages: </w:t>
            </w:r>
            <w:bookmarkStart w:id="10" w:name="sps5c"/>
            <w:r w:rsidRPr="00656ABC">
              <w:t>226</w:t>
            </w:r>
            <w:bookmarkEnd w:id="10"/>
          </w:p>
          <w:p w:rsidR="00E465CE" w:rsidRDefault="00E465CE" w:rsidP="00E465CE">
            <w:pPr>
              <w:spacing w:before="120" w:after="120"/>
            </w:pPr>
            <w:r>
              <w:t xml:space="preserve">The above document contains the existing regulations and is available at the following website: </w:t>
            </w:r>
            <w:hyperlink r:id="rId8" w:history="1">
              <w:r>
                <w:rPr>
                  <w:color w:val="0000FF"/>
                  <w:u w:val="single"/>
                </w:rPr>
                <w:t>http://www.ava.gov.sg/legislation</w:t>
              </w:r>
            </w:hyperlink>
            <w:r>
              <w:t xml:space="preserve"> </w:t>
            </w:r>
            <w:r>
              <w:rPr>
                <w:i/>
                <w:iCs/>
              </w:rPr>
              <w:t xml:space="preserve">(select "Sale of Food Act"). </w:t>
            </w:r>
            <w:r>
              <w:t xml:space="preserve">The proposed regulations to amend the existing regulations are being drafted, and will be posted at the following website as soon as they are available: </w:t>
            </w:r>
            <w:hyperlink r:id="rId9" w:history="1">
              <w:r>
                <w:rPr>
                  <w:color w:val="0000FF"/>
                  <w:u w:val="single"/>
                </w:rPr>
                <w:t>http://www.ava.gov.sg/legislation</w:t>
              </w:r>
            </w:hyperlink>
            <w:r>
              <w:t xml:space="preserve"> </w:t>
            </w:r>
            <w:r>
              <w:rPr>
                <w:i/>
                <w:iCs/>
              </w:rPr>
              <w:t>(select "Sale of Food Act").</w:t>
            </w:r>
          </w:p>
        </w:tc>
      </w:tr>
      <w:tr w:rsidR="005E53B6" w:rsidTr="006743EA">
        <w:trPr>
          <w:jc w:val="center"/>
        </w:trPr>
        <w:tc>
          <w:tcPr>
            <w:tcW w:w="707" w:type="dxa"/>
            <w:tcBorders>
              <w:top w:val="single" w:sz="4" w:space="0" w:color="auto"/>
              <w:bottom w:val="single" w:sz="4" w:space="0" w:color="auto"/>
            </w:tcBorders>
            <w:shd w:val="clear" w:color="auto" w:fill="auto"/>
          </w:tcPr>
          <w:p w:rsidR="005E53B6" w:rsidRPr="00656ABC" w:rsidRDefault="005E53B6" w:rsidP="005E53B6">
            <w:pPr>
              <w:spacing w:before="120" w:after="120"/>
              <w:jc w:val="left"/>
            </w:pPr>
            <w:r w:rsidRPr="00656ABC">
              <w:rPr>
                <w:b/>
              </w:rPr>
              <w:t>6.</w:t>
            </w:r>
          </w:p>
        </w:tc>
        <w:tc>
          <w:tcPr>
            <w:tcW w:w="8320" w:type="dxa"/>
            <w:tcBorders>
              <w:top w:val="single" w:sz="4" w:space="0" w:color="auto"/>
              <w:bottom w:val="single" w:sz="4" w:space="0" w:color="auto"/>
            </w:tcBorders>
            <w:shd w:val="clear" w:color="auto" w:fill="auto"/>
          </w:tcPr>
          <w:p w:rsidR="005E53B6" w:rsidRPr="00656ABC" w:rsidRDefault="005E53B6" w:rsidP="005E1ECC">
            <w:pPr>
              <w:spacing w:before="120"/>
            </w:pPr>
            <w:r w:rsidRPr="00656ABC">
              <w:rPr>
                <w:b/>
              </w:rPr>
              <w:t xml:space="preserve">Description of content: </w:t>
            </w:r>
            <w:r>
              <w:t xml:space="preserve">The </w:t>
            </w:r>
            <w:proofErr w:type="spellStart"/>
            <w:r>
              <w:t>Agri</w:t>
            </w:r>
            <w:proofErr w:type="spellEnd"/>
            <w:r>
              <w:t>-Food and Veterinary Authority of Singapore (AVA) has completed a review of the Food Regulations and proposes the following amendments:</w:t>
            </w:r>
          </w:p>
          <w:p w:rsidR="005E53B6" w:rsidRDefault="005E53B6" w:rsidP="005E1ECC">
            <w:pPr>
              <w:numPr>
                <w:ilvl w:val="0"/>
                <w:numId w:val="16"/>
              </w:numPr>
              <w:ind w:left="357" w:hanging="357"/>
            </w:pPr>
            <w:r>
              <w:t>To delete the existing regulation 35 of the Food Regulations and substitute with the following new regulation 35 which provides a def</w:t>
            </w:r>
            <w:r w:rsidR="006743EA">
              <w:t>inition for ready-to-eat food:</w:t>
            </w:r>
          </w:p>
          <w:p w:rsidR="005E53B6" w:rsidRDefault="0084541C" w:rsidP="0084541C">
            <w:pPr>
              <w:tabs>
                <w:tab w:val="left" w:pos="824"/>
              </w:tabs>
              <w:ind w:left="363"/>
            </w:pPr>
            <w:r>
              <w:t>35 –</w:t>
            </w:r>
            <w:r>
              <w:tab/>
            </w:r>
            <w:r w:rsidR="005E53B6">
              <w:t>(1) Ready-to-eat food shall comply with the microbiological standard specified in Parts I, II and III of the Eleventh Schedule.</w:t>
            </w:r>
          </w:p>
          <w:p w:rsidR="005E53B6" w:rsidRDefault="005E53B6" w:rsidP="005E1ECC">
            <w:pPr>
              <w:ind w:left="822"/>
            </w:pPr>
            <w:r>
              <w:t xml:space="preserve">(2) In these Regulations, "ready-to-eat food" means food intended by the producer or the manufacturer for direct human consumption without the need for cooking or other forms of processing effective to eliminate or reduce to an acceptable level </w:t>
            </w:r>
            <w:r w:rsidR="001B0908">
              <w:t>the micro-organisms of concern.</w:t>
            </w:r>
          </w:p>
          <w:p w:rsidR="005E53B6" w:rsidRDefault="005E53B6" w:rsidP="001B0908">
            <w:pPr>
              <w:numPr>
                <w:ilvl w:val="0"/>
                <w:numId w:val="16"/>
              </w:numPr>
              <w:spacing w:after="120"/>
              <w:ind w:left="362"/>
            </w:pPr>
            <w:r>
              <w:t>To delete the existing Eleventh Schedule of the Food Regulations and substitute with a new Eleventh Schedule which specifies the revised microbiological standard for ready-to-eat f</w:t>
            </w:r>
            <w:r w:rsidR="001B0908">
              <w:t>ood:</w:t>
            </w:r>
          </w:p>
          <w:p w:rsidR="005E53B6" w:rsidRDefault="005E53B6" w:rsidP="006743EA">
            <w:pPr>
              <w:jc w:val="center"/>
            </w:pPr>
            <w:r>
              <w:t>ELEVENTH SCHEDULE</w:t>
            </w:r>
          </w:p>
          <w:p w:rsidR="005E53B6" w:rsidRDefault="005E53B6" w:rsidP="006743EA">
            <w:pPr>
              <w:spacing w:after="120"/>
              <w:jc w:val="center"/>
            </w:pPr>
            <w:r>
              <w:t>MICROBIOLOGICAL STANDARD FOR FOOD</w:t>
            </w:r>
          </w:p>
          <w:p w:rsidR="005E53B6" w:rsidRDefault="005E53B6">
            <w:pPr>
              <w:spacing w:after="120"/>
            </w:pPr>
            <w:r>
              <w:t>Part I: Total Plate Count</w:t>
            </w:r>
          </w:p>
          <w:p w:rsidR="005E53B6" w:rsidRDefault="00F32DFC" w:rsidP="006743EA">
            <w:pPr>
              <w:tabs>
                <w:tab w:val="left" w:pos="4998"/>
              </w:tabs>
              <w:spacing w:after="120"/>
            </w:pPr>
            <w:r>
              <w:rPr>
                <w:i/>
                <w:iCs/>
              </w:rPr>
              <w:t>Type of Food</w:t>
            </w:r>
            <w:r>
              <w:rPr>
                <w:i/>
                <w:iCs/>
              </w:rPr>
              <w:tab/>
            </w:r>
            <w:r w:rsidR="005E53B6">
              <w:rPr>
                <w:i/>
                <w:iCs/>
              </w:rPr>
              <w:t>C</w:t>
            </w:r>
            <w:r w:rsidR="006743EA">
              <w:rPr>
                <w:i/>
                <w:iCs/>
              </w:rPr>
              <w:t>olony forming unit/gram (</w:t>
            </w:r>
            <w:proofErr w:type="spellStart"/>
            <w:r w:rsidR="006743EA">
              <w:rPr>
                <w:i/>
                <w:iCs/>
              </w:rPr>
              <w:t>cfu</w:t>
            </w:r>
            <w:proofErr w:type="spellEnd"/>
            <w:r w:rsidR="006743EA">
              <w:rPr>
                <w:i/>
                <w:iCs/>
              </w:rPr>
              <w:t>/g)</w:t>
            </w:r>
          </w:p>
          <w:p w:rsidR="005E53B6" w:rsidRDefault="00383C87" w:rsidP="00F32DFC">
            <w:pPr>
              <w:tabs>
                <w:tab w:val="left" w:pos="5565"/>
              </w:tabs>
            </w:pPr>
            <w:r>
              <w:rPr>
                <w:i/>
                <w:iCs/>
              </w:rPr>
              <w:t>Category 1:</w:t>
            </w:r>
          </w:p>
          <w:p w:rsidR="00F32DFC" w:rsidRDefault="005E53B6" w:rsidP="006743EA">
            <w:pPr>
              <w:tabs>
                <w:tab w:val="left" w:pos="5423"/>
              </w:tabs>
            </w:pPr>
            <w:r>
              <w:t>Shelf-stabl</w:t>
            </w:r>
            <w:r w:rsidR="00F32DFC">
              <w:t>e canned, retort and ultra-high</w:t>
            </w:r>
            <w:r w:rsidR="00F32DFC">
              <w:tab/>
              <w:t>&lt;10 (liquid foods) and</w:t>
            </w:r>
          </w:p>
          <w:p w:rsidR="00F32DFC" w:rsidRDefault="005E53B6" w:rsidP="006743EA">
            <w:pPr>
              <w:tabs>
                <w:tab w:val="left" w:pos="5423"/>
              </w:tabs>
            </w:pPr>
            <w:r>
              <w:t>temperature processed foods subjected</w:t>
            </w:r>
            <w:r w:rsidR="00F32DFC">
              <w:tab/>
              <w:t>&lt;10</w:t>
            </w:r>
            <w:r w:rsidR="00F32DFC">
              <w:rPr>
                <w:vertAlign w:val="superscript"/>
              </w:rPr>
              <w:t>2</w:t>
            </w:r>
            <w:r w:rsidR="00F32DFC">
              <w:t xml:space="preserve"> (solid foods)</w:t>
            </w:r>
          </w:p>
          <w:p w:rsidR="005E53B6" w:rsidRDefault="005E53B6" w:rsidP="00F32DFC">
            <w:pPr>
              <w:tabs>
                <w:tab w:val="left" w:pos="5565"/>
              </w:tabs>
              <w:spacing w:after="120"/>
            </w:pPr>
            <w:r>
              <w:t>to sterilisation or equivalent processing</w:t>
            </w:r>
          </w:p>
          <w:p w:rsidR="005E53B6" w:rsidRDefault="00831EA9" w:rsidP="006743EA">
            <w:pPr>
              <w:tabs>
                <w:tab w:val="left" w:pos="5565"/>
              </w:tabs>
              <w:spacing w:before="240"/>
            </w:pPr>
            <w:r>
              <w:rPr>
                <w:i/>
                <w:iCs/>
              </w:rPr>
              <w:lastRenderedPageBreak/>
              <w:t>Category 2:</w:t>
            </w:r>
          </w:p>
          <w:p w:rsidR="005E53B6" w:rsidRDefault="00F32DFC" w:rsidP="00630E34">
            <w:pPr>
              <w:numPr>
                <w:ilvl w:val="0"/>
                <w:numId w:val="18"/>
              </w:numPr>
              <w:tabs>
                <w:tab w:val="left" w:pos="362"/>
                <w:tab w:val="left" w:pos="5423"/>
              </w:tabs>
              <w:ind w:left="357" w:hanging="357"/>
            </w:pPr>
            <w:r>
              <w:t>Sweetened condensed milk</w:t>
            </w:r>
            <w:r>
              <w:tab/>
              <w:t xml:space="preserve">(a) </w:t>
            </w:r>
            <w:r w:rsidR="005E53B6">
              <w:t>&lt;10</w:t>
            </w:r>
            <w:r w:rsidR="005E53B6" w:rsidRPr="006743EA">
              <w:rPr>
                <w:vertAlign w:val="superscript"/>
              </w:rPr>
              <w:t>3</w:t>
            </w:r>
          </w:p>
          <w:p w:rsidR="00F32DFC" w:rsidRDefault="005E53B6" w:rsidP="006743EA">
            <w:pPr>
              <w:numPr>
                <w:ilvl w:val="0"/>
                <w:numId w:val="18"/>
              </w:numPr>
              <w:tabs>
                <w:tab w:val="left" w:pos="362"/>
                <w:tab w:val="left" w:pos="5423"/>
              </w:tabs>
              <w:ind w:left="357" w:hanging="357"/>
            </w:pPr>
            <w:r>
              <w:t xml:space="preserve">Ready-to-eat foods (not in categories 1 </w:t>
            </w:r>
            <w:r w:rsidR="006743EA">
              <w:t>and</w:t>
            </w:r>
            <w:r>
              <w:t xml:space="preserve"> 4)</w:t>
            </w:r>
            <w:r w:rsidR="00F32DFC">
              <w:tab/>
              <w:t>(b) &lt;10</w:t>
            </w:r>
            <w:r w:rsidR="00F32DFC" w:rsidRPr="00C95C64">
              <w:rPr>
                <w:vertAlign w:val="superscript"/>
              </w:rPr>
              <w:t>5</w:t>
            </w:r>
          </w:p>
          <w:p w:rsidR="00F32DFC" w:rsidRDefault="005E53B6" w:rsidP="006743EA">
            <w:pPr>
              <w:tabs>
                <w:tab w:val="left" w:pos="5423"/>
              </w:tabs>
              <w:ind w:left="376"/>
            </w:pPr>
            <w:r>
              <w:t>in which most components are cooked without</w:t>
            </w:r>
          </w:p>
          <w:p w:rsidR="00F32DFC" w:rsidRDefault="005E53B6" w:rsidP="006743EA">
            <w:pPr>
              <w:tabs>
                <w:tab w:val="left" w:pos="5565"/>
              </w:tabs>
              <w:ind w:left="376"/>
            </w:pPr>
            <w:r>
              <w:t>intention fo</w:t>
            </w:r>
            <w:r w:rsidR="00F32DFC">
              <w:t>r further processing or heating</w:t>
            </w:r>
          </w:p>
          <w:p w:rsidR="00F32DFC" w:rsidRDefault="005E53B6" w:rsidP="006743EA">
            <w:pPr>
              <w:tabs>
                <w:tab w:val="left" w:pos="5565"/>
              </w:tabs>
              <w:ind w:left="376"/>
            </w:pPr>
            <w:r>
              <w:t>before consumption; this may include pasteurised</w:t>
            </w:r>
          </w:p>
          <w:p w:rsidR="00F32DFC" w:rsidRDefault="005E53B6" w:rsidP="006743EA">
            <w:pPr>
              <w:tabs>
                <w:tab w:val="left" w:pos="5565"/>
              </w:tabs>
              <w:ind w:left="376"/>
            </w:pPr>
            <w:r>
              <w:t>food which are shelf stable or may require</w:t>
            </w:r>
          </w:p>
          <w:p w:rsidR="00F32DFC" w:rsidRDefault="005E53B6" w:rsidP="006743EA">
            <w:pPr>
              <w:tabs>
                <w:tab w:val="left" w:pos="5565"/>
              </w:tabs>
              <w:ind w:left="376"/>
            </w:pPr>
            <w:r>
              <w:t>refrigeration; or non-fermented dairy products and</w:t>
            </w:r>
          </w:p>
          <w:p w:rsidR="00F32DFC" w:rsidRDefault="005E53B6" w:rsidP="006743EA">
            <w:pPr>
              <w:tabs>
                <w:tab w:val="left" w:pos="5565"/>
              </w:tabs>
              <w:ind w:left="376"/>
            </w:pPr>
            <w:r>
              <w:t>dairy-based des</w:t>
            </w:r>
            <w:r w:rsidR="00F32DFC">
              <w:t>serts; or sauces; or bakery and</w:t>
            </w:r>
          </w:p>
          <w:p w:rsidR="005E53B6" w:rsidRDefault="005E53B6" w:rsidP="006743EA">
            <w:pPr>
              <w:tabs>
                <w:tab w:val="left" w:pos="5565"/>
              </w:tabs>
              <w:spacing w:after="120"/>
              <w:ind w:left="376"/>
            </w:pPr>
            <w:r>
              <w:t>confectione</w:t>
            </w:r>
            <w:r w:rsidR="00F32DFC">
              <w:t>ry products; or powdered foods</w:t>
            </w:r>
          </w:p>
          <w:p w:rsidR="005E53B6" w:rsidRDefault="00831EA9" w:rsidP="00F32DFC">
            <w:pPr>
              <w:tabs>
                <w:tab w:val="left" w:pos="5565"/>
              </w:tabs>
            </w:pPr>
            <w:r>
              <w:rPr>
                <w:i/>
                <w:iCs/>
              </w:rPr>
              <w:t>Category 3:</w:t>
            </w:r>
          </w:p>
          <w:p w:rsidR="00F32DFC" w:rsidRDefault="005E53B6" w:rsidP="006743EA">
            <w:pPr>
              <w:tabs>
                <w:tab w:val="left" w:pos="5423"/>
              </w:tabs>
            </w:pPr>
            <w:r>
              <w:t>Ready-to-eat foods</w:t>
            </w:r>
            <w:r w:rsidR="00F32DFC">
              <w:t xml:space="preserve"> (not in categories 1, 2 and 4)</w:t>
            </w:r>
            <w:r w:rsidR="00F32DFC">
              <w:tab/>
              <w:t>&lt;10</w:t>
            </w:r>
            <w:r w:rsidR="00F32DFC">
              <w:rPr>
                <w:vertAlign w:val="superscript"/>
              </w:rPr>
              <w:t>6</w:t>
            </w:r>
          </w:p>
          <w:p w:rsidR="00F32DFC" w:rsidRDefault="005E53B6" w:rsidP="00F32DFC">
            <w:pPr>
              <w:tabs>
                <w:tab w:val="left" w:pos="5565"/>
              </w:tabs>
            </w:pPr>
            <w:r>
              <w:t>that are</w:t>
            </w:r>
            <w:r w:rsidR="00F32DFC">
              <w:t xml:space="preserve"> consumed raw or that contain a</w:t>
            </w:r>
          </w:p>
          <w:p w:rsidR="00F32DFC" w:rsidRDefault="005E53B6" w:rsidP="00F32DFC">
            <w:pPr>
              <w:tabs>
                <w:tab w:val="left" w:pos="5565"/>
              </w:tabs>
            </w:pPr>
            <w:r>
              <w:t>significant amount of raw ingredients in the</w:t>
            </w:r>
          </w:p>
          <w:p w:rsidR="005E53B6" w:rsidRDefault="00F32DFC" w:rsidP="00F32DFC">
            <w:pPr>
              <w:tabs>
                <w:tab w:val="left" w:pos="5565"/>
              </w:tabs>
              <w:spacing w:after="120"/>
            </w:pPr>
            <w:r>
              <w:t>final food product</w:t>
            </w:r>
          </w:p>
          <w:p w:rsidR="005E53B6" w:rsidRPr="00F32DFC" w:rsidRDefault="005E53B6" w:rsidP="00F32DFC">
            <w:pPr>
              <w:tabs>
                <w:tab w:val="left" w:pos="5565"/>
              </w:tabs>
            </w:pPr>
            <w:r>
              <w:rPr>
                <w:i/>
                <w:iCs/>
              </w:rPr>
              <w:t>Category 4:</w:t>
            </w:r>
          </w:p>
          <w:p w:rsidR="006743EA" w:rsidRDefault="005E53B6" w:rsidP="00570A86">
            <w:pPr>
              <w:tabs>
                <w:tab w:val="left" w:pos="5423"/>
              </w:tabs>
            </w:pPr>
            <w:r>
              <w:t>Fresh fruits and ve</w:t>
            </w:r>
            <w:r w:rsidR="006743EA">
              <w:t>getables, fruits and vegetables</w:t>
            </w:r>
            <w:r w:rsidR="006743EA">
              <w:tab/>
              <w:t>Not applicable</w:t>
            </w:r>
          </w:p>
          <w:p w:rsidR="006743EA" w:rsidRDefault="006743EA" w:rsidP="006743EA">
            <w:pPr>
              <w:tabs>
                <w:tab w:val="left" w:pos="5565"/>
              </w:tabs>
            </w:pPr>
            <w:r>
              <w:t>j</w:t>
            </w:r>
            <w:r w:rsidR="005E53B6">
              <w:t>uices</w:t>
            </w:r>
            <w:r>
              <w:t xml:space="preserve"> </w:t>
            </w:r>
            <w:r w:rsidR="005E53B6">
              <w:t>which have not been subjected to pasteu</w:t>
            </w:r>
            <w:r>
              <w:t>risation</w:t>
            </w:r>
          </w:p>
          <w:p w:rsidR="006743EA" w:rsidRDefault="006743EA" w:rsidP="006743EA">
            <w:pPr>
              <w:tabs>
                <w:tab w:val="left" w:pos="5565"/>
              </w:tabs>
            </w:pPr>
            <w:r>
              <w:t xml:space="preserve">or </w:t>
            </w:r>
            <w:r w:rsidR="005E53B6">
              <w:t>equivalent proce</w:t>
            </w:r>
            <w:r>
              <w:t>ssing, fermented food products,</w:t>
            </w:r>
          </w:p>
          <w:p w:rsidR="006743EA" w:rsidRDefault="005E53B6" w:rsidP="006743EA">
            <w:pPr>
              <w:tabs>
                <w:tab w:val="left" w:pos="5565"/>
              </w:tabs>
            </w:pPr>
            <w:r>
              <w:t>preserved food products (including salted or pickled</w:t>
            </w:r>
          </w:p>
          <w:p w:rsidR="006743EA" w:rsidRDefault="005E53B6" w:rsidP="006743EA">
            <w:pPr>
              <w:tabs>
                <w:tab w:val="left" w:pos="5565"/>
              </w:tabs>
            </w:pPr>
            <w:r>
              <w:t>food products), dried foods, yoghurts, ripened cheeses,</w:t>
            </w:r>
          </w:p>
          <w:p w:rsidR="006743EA" w:rsidRDefault="005E53B6" w:rsidP="006743EA">
            <w:pPr>
              <w:tabs>
                <w:tab w:val="left" w:pos="5565"/>
              </w:tabs>
            </w:pPr>
            <w:r>
              <w:t>foods containing probiotics; foods containing a significant</w:t>
            </w:r>
          </w:p>
          <w:p w:rsidR="005E53B6" w:rsidRDefault="005E53B6" w:rsidP="00570A86">
            <w:pPr>
              <w:tabs>
                <w:tab w:val="left" w:pos="5565"/>
              </w:tabs>
              <w:spacing w:after="120"/>
            </w:pPr>
            <w:r>
              <w:t>portion of these ingredients in the final food product</w:t>
            </w:r>
          </w:p>
          <w:p w:rsidR="005E53B6" w:rsidRDefault="005E53B6" w:rsidP="00F32DFC">
            <w:pPr>
              <w:tabs>
                <w:tab w:val="left" w:pos="5140"/>
              </w:tabs>
            </w:pPr>
            <w:r>
              <w:rPr>
                <w:i/>
                <w:iCs/>
              </w:rPr>
              <w:t>Category 5:</w:t>
            </w:r>
          </w:p>
          <w:p w:rsidR="005E53B6" w:rsidRDefault="005E53B6" w:rsidP="00F32DFC">
            <w:pPr>
              <w:tabs>
                <w:tab w:val="left" w:pos="5140"/>
              </w:tabs>
              <w:spacing w:after="120"/>
            </w:pPr>
            <w:r>
              <w:t>All other ready-to</w:t>
            </w:r>
            <w:r w:rsidR="006743EA">
              <w:t>-eat foods not specified above</w:t>
            </w:r>
            <w:r w:rsidR="006743EA">
              <w:tab/>
            </w:r>
            <w:r>
              <w:t>&lt;10</w:t>
            </w:r>
            <w:r>
              <w:rPr>
                <w:vertAlign w:val="superscript"/>
              </w:rPr>
              <w:t>5</w:t>
            </w:r>
          </w:p>
          <w:p w:rsidR="005E53B6" w:rsidRDefault="005E53B6">
            <w:pPr>
              <w:spacing w:after="120"/>
            </w:pPr>
          </w:p>
          <w:p w:rsidR="005E53B6" w:rsidRDefault="005E53B6">
            <w:pPr>
              <w:spacing w:after="120"/>
            </w:pPr>
            <w:r>
              <w:t xml:space="preserve">Part II: Coliforms and </w:t>
            </w:r>
            <w:r>
              <w:rPr>
                <w:i/>
                <w:iCs/>
              </w:rPr>
              <w:t>Escherichia coli</w:t>
            </w:r>
          </w:p>
          <w:p w:rsidR="005E53B6" w:rsidRDefault="005E53B6" w:rsidP="00570A86">
            <w:pPr>
              <w:tabs>
                <w:tab w:val="left" w:pos="4148"/>
                <w:tab w:val="left" w:pos="6132"/>
              </w:tabs>
              <w:spacing w:after="120"/>
            </w:pPr>
            <w:r>
              <w:rPr>
                <w:i/>
                <w:iCs/>
              </w:rPr>
              <w:t>Type of Food</w:t>
            </w:r>
            <w:r w:rsidR="00570A86">
              <w:rPr>
                <w:i/>
                <w:iCs/>
              </w:rPr>
              <w:tab/>
            </w:r>
            <w:r>
              <w:rPr>
                <w:i/>
                <w:iCs/>
              </w:rPr>
              <w:t>Coliform count</w:t>
            </w:r>
            <w:r w:rsidR="00570A86">
              <w:rPr>
                <w:i/>
                <w:iCs/>
              </w:rPr>
              <w:tab/>
            </w:r>
            <w:r>
              <w:rPr>
                <w:i/>
                <w:iCs/>
              </w:rPr>
              <w:t>Escherichia coli count</w:t>
            </w:r>
          </w:p>
          <w:p w:rsidR="00570A86" w:rsidRDefault="00570A86" w:rsidP="00570A86">
            <w:pPr>
              <w:tabs>
                <w:tab w:val="left" w:pos="4086"/>
                <w:tab w:val="left" w:pos="6416"/>
              </w:tabs>
              <w:rPr>
                <w:i/>
                <w:iCs/>
              </w:rPr>
            </w:pPr>
            <w:r>
              <w:rPr>
                <w:i/>
                <w:iCs/>
              </w:rPr>
              <w:tab/>
              <w:t>Colony forming</w:t>
            </w:r>
            <w:r>
              <w:rPr>
                <w:i/>
                <w:iCs/>
              </w:rPr>
              <w:tab/>
              <w:t>Colony forming</w:t>
            </w:r>
          </w:p>
          <w:p w:rsidR="005E53B6" w:rsidRDefault="00570A86" w:rsidP="00570A86">
            <w:pPr>
              <w:tabs>
                <w:tab w:val="left" w:pos="4002"/>
                <w:tab w:val="left" w:pos="6353"/>
              </w:tabs>
              <w:spacing w:after="120"/>
            </w:pPr>
            <w:r>
              <w:rPr>
                <w:i/>
                <w:iCs/>
              </w:rPr>
              <w:tab/>
              <w:t>unit/</w:t>
            </w:r>
            <w:r w:rsidR="005E53B6">
              <w:rPr>
                <w:i/>
                <w:iCs/>
              </w:rPr>
              <w:t>gram</w:t>
            </w:r>
            <w:r w:rsidR="006743EA">
              <w:rPr>
                <w:i/>
                <w:iCs/>
              </w:rPr>
              <w:t xml:space="preserve"> </w:t>
            </w:r>
            <w:r w:rsidR="005E53B6">
              <w:rPr>
                <w:i/>
                <w:iCs/>
              </w:rPr>
              <w:t>(</w:t>
            </w:r>
            <w:proofErr w:type="spellStart"/>
            <w:r w:rsidR="005E53B6">
              <w:rPr>
                <w:i/>
                <w:iCs/>
              </w:rPr>
              <w:t>cfu</w:t>
            </w:r>
            <w:proofErr w:type="spellEnd"/>
            <w:r w:rsidR="005E53B6">
              <w:rPr>
                <w:i/>
                <w:iCs/>
              </w:rPr>
              <w:t>/g)</w:t>
            </w:r>
            <w:r>
              <w:rPr>
                <w:i/>
                <w:iCs/>
              </w:rPr>
              <w:tab/>
              <w:t>unit/</w:t>
            </w:r>
            <w:r w:rsidR="005E53B6">
              <w:rPr>
                <w:i/>
                <w:iCs/>
              </w:rPr>
              <w:t>gram (</w:t>
            </w:r>
            <w:proofErr w:type="spellStart"/>
            <w:r w:rsidR="005E53B6">
              <w:rPr>
                <w:i/>
                <w:iCs/>
              </w:rPr>
              <w:t>cfu</w:t>
            </w:r>
            <w:proofErr w:type="spellEnd"/>
            <w:r w:rsidR="005E53B6">
              <w:rPr>
                <w:i/>
                <w:iCs/>
              </w:rPr>
              <w:t>/g)</w:t>
            </w:r>
          </w:p>
          <w:p w:rsidR="00570A86" w:rsidRDefault="005E53B6" w:rsidP="00570A86">
            <w:pPr>
              <w:tabs>
                <w:tab w:val="left" w:pos="4198"/>
                <w:tab w:val="left" w:pos="6801"/>
              </w:tabs>
            </w:pPr>
            <w:r>
              <w:t>Mil</w:t>
            </w:r>
            <w:r w:rsidR="00570A86">
              <w:t>k powder (including full-cream,</w:t>
            </w:r>
            <w:r w:rsidR="00570A86">
              <w:tab/>
              <w:t>&lt;5.0 X 10</w:t>
            </w:r>
            <w:r w:rsidR="00570A86">
              <w:rPr>
                <w:vertAlign w:val="superscript"/>
              </w:rPr>
              <w:t>2</w:t>
            </w:r>
            <w:r w:rsidR="00570A86">
              <w:rPr>
                <w:vertAlign w:val="superscript"/>
              </w:rPr>
              <w:tab/>
            </w:r>
            <w:r w:rsidR="00570A86">
              <w:rPr>
                <w:i/>
                <w:iCs/>
              </w:rPr>
              <w:t>&lt;</w:t>
            </w:r>
            <w:r w:rsidR="00570A86">
              <w:t>10</w:t>
            </w:r>
            <w:r w:rsidR="00570A86">
              <w:rPr>
                <w:vertAlign w:val="superscript"/>
              </w:rPr>
              <w:t>2</w:t>
            </w:r>
          </w:p>
          <w:p w:rsidR="00570A86" w:rsidRDefault="005E53B6" w:rsidP="00570A86">
            <w:r>
              <w:t>half cream, skimmed milk and infant</w:t>
            </w:r>
          </w:p>
          <w:p w:rsidR="00570A86" w:rsidRDefault="00570A86" w:rsidP="00570A86">
            <w:r>
              <w:t>formula), buttermilk powder,</w:t>
            </w:r>
          </w:p>
          <w:p w:rsidR="005E53B6" w:rsidRDefault="005E53B6" w:rsidP="001B6013">
            <w:r>
              <w:t>pasteurised milk and ice cream</w:t>
            </w:r>
          </w:p>
          <w:p w:rsidR="005E53B6" w:rsidRDefault="00570A86" w:rsidP="00570A86">
            <w:pPr>
              <w:tabs>
                <w:tab w:val="left" w:pos="4148"/>
                <w:tab w:val="left" w:pos="6801"/>
                <w:tab w:val="left" w:pos="6841"/>
              </w:tabs>
              <w:spacing w:after="120"/>
            </w:pPr>
            <w:r>
              <w:t>All other ready-to-eat food</w:t>
            </w:r>
            <w:r>
              <w:tab/>
            </w:r>
            <w:r w:rsidR="005E53B6">
              <w:t>Not applicable</w:t>
            </w:r>
            <w:r>
              <w:tab/>
            </w:r>
            <w:r w:rsidR="005E53B6">
              <w:rPr>
                <w:i/>
                <w:iCs/>
              </w:rPr>
              <w:t>&lt;</w:t>
            </w:r>
            <w:r w:rsidR="005E53B6">
              <w:t>10</w:t>
            </w:r>
            <w:r w:rsidR="005E53B6">
              <w:rPr>
                <w:vertAlign w:val="superscript"/>
              </w:rPr>
              <w:t>2</w:t>
            </w:r>
          </w:p>
          <w:p w:rsidR="005E53B6" w:rsidRDefault="005E53B6">
            <w:pPr>
              <w:spacing w:after="120"/>
            </w:pPr>
          </w:p>
          <w:p w:rsidR="005E53B6" w:rsidRDefault="005E53B6">
            <w:pPr>
              <w:spacing w:after="120"/>
            </w:pPr>
            <w:r>
              <w:t>Part III: Pathogens</w:t>
            </w:r>
          </w:p>
          <w:p w:rsidR="00570A86" w:rsidRDefault="00570A86" w:rsidP="00570A86">
            <w:pPr>
              <w:tabs>
                <w:tab w:val="left" w:pos="5565"/>
              </w:tabs>
              <w:rPr>
                <w:i/>
                <w:iCs/>
              </w:rPr>
            </w:pPr>
            <w:r w:rsidRPr="005F4A9B">
              <w:rPr>
                <w:i/>
              </w:rPr>
              <w:t>Pathogens</w:t>
            </w:r>
            <w:r>
              <w:tab/>
            </w:r>
            <w:r>
              <w:rPr>
                <w:i/>
                <w:iCs/>
              </w:rPr>
              <w:t>Colony forming unit</w:t>
            </w:r>
            <w:r w:rsidR="005E53B6">
              <w:rPr>
                <w:i/>
                <w:iCs/>
              </w:rPr>
              <w:t>/gram</w:t>
            </w:r>
          </w:p>
          <w:p w:rsidR="005E53B6" w:rsidRPr="0084541C" w:rsidRDefault="00570A86" w:rsidP="00570A86">
            <w:pPr>
              <w:tabs>
                <w:tab w:val="left" w:pos="6416"/>
              </w:tabs>
              <w:spacing w:after="120"/>
              <w:rPr>
                <w:lang w:val="fr-CH"/>
              </w:rPr>
            </w:pPr>
            <w:r>
              <w:rPr>
                <w:i/>
                <w:iCs/>
              </w:rPr>
              <w:tab/>
            </w:r>
            <w:r w:rsidR="005E53B6" w:rsidRPr="0084541C">
              <w:rPr>
                <w:i/>
                <w:iCs/>
                <w:lang w:val="fr-CH"/>
              </w:rPr>
              <w:t>(</w:t>
            </w:r>
            <w:proofErr w:type="spellStart"/>
            <w:r w:rsidR="005E53B6" w:rsidRPr="0084541C">
              <w:rPr>
                <w:i/>
                <w:iCs/>
                <w:lang w:val="fr-CH"/>
              </w:rPr>
              <w:t>cfu</w:t>
            </w:r>
            <w:proofErr w:type="spellEnd"/>
            <w:r w:rsidR="005E53B6" w:rsidRPr="0084541C">
              <w:rPr>
                <w:i/>
                <w:iCs/>
                <w:lang w:val="fr-CH"/>
              </w:rPr>
              <w:t>/g)</w:t>
            </w:r>
          </w:p>
          <w:p w:rsidR="005E53B6" w:rsidRPr="0084541C" w:rsidRDefault="005E53B6" w:rsidP="00570A86">
            <w:pPr>
              <w:tabs>
                <w:tab w:val="left" w:pos="5423"/>
              </w:tabs>
              <w:rPr>
                <w:lang w:val="fr-CH"/>
              </w:rPr>
            </w:pPr>
            <w:proofErr w:type="spellStart"/>
            <w:r w:rsidRPr="0084541C">
              <w:rPr>
                <w:lang w:val="fr-CH"/>
              </w:rPr>
              <w:t>Coagulase</w:t>
            </w:r>
            <w:proofErr w:type="spellEnd"/>
            <w:r w:rsidRPr="0084541C">
              <w:rPr>
                <w:lang w:val="fr-CH"/>
              </w:rPr>
              <w:t xml:space="preserve">-positive </w:t>
            </w:r>
            <w:r w:rsidR="00570A86" w:rsidRPr="0084541C">
              <w:rPr>
                <w:i/>
                <w:iCs/>
                <w:lang w:val="fr-CH"/>
              </w:rPr>
              <w:t>Staphylococcus aureus</w:t>
            </w:r>
            <w:r w:rsidR="00570A86" w:rsidRPr="0084541C">
              <w:rPr>
                <w:i/>
                <w:iCs/>
                <w:lang w:val="fr-CH"/>
              </w:rPr>
              <w:tab/>
            </w:r>
            <w:r w:rsidRPr="0084541C">
              <w:rPr>
                <w:lang w:val="fr-CH"/>
              </w:rPr>
              <w:t>&lt;10</w:t>
            </w:r>
            <w:r w:rsidRPr="0084541C">
              <w:rPr>
                <w:vertAlign w:val="superscript"/>
                <w:lang w:val="fr-CH"/>
              </w:rPr>
              <w:t>2</w:t>
            </w:r>
          </w:p>
          <w:p w:rsidR="005E53B6" w:rsidRPr="00570A86" w:rsidRDefault="00570A86" w:rsidP="00570A86">
            <w:pPr>
              <w:tabs>
                <w:tab w:val="left" w:pos="5423"/>
              </w:tabs>
              <w:rPr>
                <w:lang w:val="en-US"/>
              </w:rPr>
            </w:pPr>
            <w:r>
              <w:rPr>
                <w:i/>
                <w:iCs/>
                <w:lang w:val="en-US"/>
              </w:rPr>
              <w:t>Bacillus cereus</w:t>
            </w:r>
            <w:r>
              <w:rPr>
                <w:i/>
                <w:iCs/>
                <w:lang w:val="en-US"/>
              </w:rPr>
              <w:tab/>
            </w:r>
            <w:r w:rsidR="005E53B6" w:rsidRPr="00570A86">
              <w:rPr>
                <w:lang w:val="en-US"/>
              </w:rPr>
              <w:t>&lt;2.0 X 10</w:t>
            </w:r>
            <w:r w:rsidR="005E53B6" w:rsidRPr="00570A86">
              <w:rPr>
                <w:vertAlign w:val="superscript"/>
                <w:lang w:val="en-US"/>
              </w:rPr>
              <w:t>2</w:t>
            </w:r>
          </w:p>
          <w:p w:rsidR="005E53B6" w:rsidRDefault="00570A86" w:rsidP="00570A86">
            <w:pPr>
              <w:tabs>
                <w:tab w:val="left" w:pos="5423"/>
              </w:tabs>
            </w:pPr>
            <w:r>
              <w:rPr>
                <w:i/>
                <w:iCs/>
              </w:rPr>
              <w:t>Clostridium perfringens</w:t>
            </w:r>
            <w:r>
              <w:rPr>
                <w:i/>
                <w:iCs/>
              </w:rPr>
              <w:tab/>
            </w:r>
            <w:r w:rsidR="005E53B6">
              <w:t>&lt;10</w:t>
            </w:r>
            <w:r w:rsidR="005E53B6">
              <w:rPr>
                <w:vertAlign w:val="superscript"/>
              </w:rPr>
              <w:t>2</w:t>
            </w:r>
          </w:p>
          <w:p w:rsidR="005E53B6" w:rsidRDefault="00570A86" w:rsidP="00570A86">
            <w:pPr>
              <w:tabs>
                <w:tab w:val="left" w:pos="5423"/>
              </w:tabs>
            </w:pPr>
            <w:r>
              <w:rPr>
                <w:i/>
                <w:iCs/>
              </w:rPr>
              <w:t xml:space="preserve">Vibrio </w:t>
            </w:r>
            <w:proofErr w:type="spellStart"/>
            <w:r>
              <w:rPr>
                <w:i/>
                <w:iCs/>
              </w:rPr>
              <w:t>parahaemolyticus</w:t>
            </w:r>
            <w:proofErr w:type="spellEnd"/>
            <w:r>
              <w:rPr>
                <w:i/>
                <w:iCs/>
              </w:rPr>
              <w:tab/>
            </w:r>
            <w:r w:rsidR="005E53B6">
              <w:t>Not detected in 25g</w:t>
            </w:r>
          </w:p>
          <w:p w:rsidR="00570A86" w:rsidRDefault="00570A86" w:rsidP="00570A86">
            <w:pPr>
              <w:tabs>
                <w:tab w:val="left" w:pos="5423"/>
              </w:tabs>
              <w:rPr>
                <w:i/>
                <w:iCs/>
              </w:rPr>
            </w:pPr>
            <w:r>
              <w:rPr>
                <w:i/>
                <w:iCs/>
              </w:rPr>
              <w:tab/>
              <w:t>(except for raw ready-to-eat</w:t>
            </w:r>
          </w:p>
          <w:p w:rsidR="005E53B6" w:rsidRDefault="00570A86" w:rsidP="00570A86">
            <w:pPr>
              <w:tabs>
                <w:tab w:val="left" w:pos="5423"/>
              </w:tabs>
            </w:pPr>
            <w:r>
              <w:rPr>
                <w:i/>
                <w:iCs/>
              </w:rPr>
              <w:tab/>
            </w:r>
            <w:r w:rsidR="005E53B6">
              <w:rPr>
                <w:i/>
                <w:iCs/>
              </w:rPr>
              <w:t>seafood where limit is &lt;10</w:t>
            </w:r>
            <w:r w:rsidR="005E53B6">
              <w:rPr>
                <w:i/>
                <w:iCs/>
                <w:vertAlign w:val="superscript"/>
              </w:rPr>
              <w:t>2</w:t>
            </w:r>
            <w:r w:rsidR="005E53B6">
              <w:rPr>
                <w:i/>
                <w:iCs/>
              </w:rPr>
              <w:t>)</w:t>
            </w:r>
          </w:p>
          <w:p w:rsidR="005E53B6" w:rsidRDefault="005E53B6" w:rsidP="00570A86">
            <w:pPr>
              <w:tabs>
                <w:tab w:val="left" w:pos="5423"/>
              </w:tabs>
            </w:pPr>
            <w:r>
              <w:rPr>
                <w:i/>
                <w:iCs/>
              </w:rPr>
              <w:t xml:space="preserve">Vibrio </w:t>
            </w:r>
            <w:proofErr w:type="spellStart"/>
            <w:r>
              <w:rPr>
                <w:i/>
                <w:iCs/>
              </w:rPr>
              <w:t>vulnificus</w:t>
            </w:r>
            <w:proofErr w:type="spellEnd"/>
            <w:r>
              <w:t xml:space="preserve">, </w:t>
            </w:r>
            <w:r w:rsidR="00570A86">
              <w:rPr>
                <w:i/>
                <w:iCs/>
              </w:rPr>
              <w:t xml:space="preserve">Vibrio </w:t>
            </w:r>
            <w:proofErr w:type="spellStart"/>
            <w:r w:rsidR="00570A86">
              <w:rPr>
                <w:i/>
                <w:iCs/>
              </w:rPr>
              <w:t>cholerae</w:t>
            </w:r>
            <w:proofErr w:type="spellEnd"/>
            <w:r w:rsidR="00570A86">
              <w:rPr>
                <w:i/>
                <w:iCs/>
              </w:rPr>
              <w:tab/>
            </w:r>
            <w:r>
              <w:t>Not detected in 25g</w:t>
            </w:r>
          </w:p>
          <w:p w:rsidR="005E53B6" w:rsidRDefault="005E53B6" w:rsidP="00570A86">
            <w:pPr>
              <w:tabs>
                <w:tab w:val="left" w:pos="5423"/>
              </w:tabs>
            </w:pPr>
            <w:r>
              <w:rPr>
                <w:i/>
                <w:iCs/>
              </w:rPr>
              <w:t>Salmonella</w:t>
            </w:r>
            <w:r>
              <w:t xml:space="preserve"> spp.</w:t>
            </w:r>
            <w:r w:rsidR="00570A86">
              <w:tab/>
            </w:r>
            <w:r>
              <w:t>Not detected in 25g</w:t>
            </w:r>
          </w:p>
          <w:p w:rsidR="005E53B6" w:rsidRDefault="005E53B6" w:rsidP="00570A86">
            <w:pPr>
              <w:tabs>
                <w:tab w:val="left" w:pos="5423"/>
              </w:tabs>
            </w:pPr>
            <w:proofErr w:type="spellStart"/>
            <w:r>
              <w:rPr>
                <w:i/>
                <w:iCs/>
              </w:rPr>
              <w:t>Shigella</w:t>
            </w:r>
            <w:proofErr w:type="spellEnd"/>
            <w:r>
              <w:t xml:space="preserve"> spp.</w:t>
            </w:r>
            <w:r w:rsidR="00570A86">
              <w:tab/>
            </w:r>
            <w:r>
              <w:t>Not detected in 25g</w:t>
            </w:r>
          </w:p>
          <w:p w:rsidR="005E53B6" w:rsidRDefault="005E53B6" w:rsidP="00570A86">
            <w:pPr>
              <w:tabs>
                <w:tab w:val="left" w:pos="5423"/>
              </w:tabs>
            </w:pPr>
            <w:r>
              <w:rPr>
                <w:i/>
                <w:iCs/>
              </w:rPr>
              <w:t>Listeria monocytogenes</w:t>
            </w:r>
            <w:r w:rsidR="00570A86">
              <w:rPr>
                <w:i/>
                <w:iCs/>
              </w:rPr>
              <w:tab/>
            </w:r>
            <w:r>
              <w:t>Not detected in 25g</w:t>
            </w:r>
          </w:p>
          <w:p w:rsidR="005E53B6" w:rsidRDefault="005E53B6" w:rsidP="00570A86">
            <w:pPr>
              <w:tabs>
                <w:tab w:val="left" w:pos="5423"/>
              </w:tabs>
            </w:pPr>
            <w:r>
              <w:rPr>
                <w:i/>
                <w:iCs/>
              </w:rPr>
              <w:t>Campylobacter</w:t>
            </w:r>
            <w:r>
              <w:t xml:space="preserve"> spp.</w:t>
            </w:r>
            <w:r w:rsidR="00570A86">
              <w:tab/>
            </w:r>
            <w:r>
              <w:t>Not detected in 25g</w:t>
            </w:r>
          </w:p>
          <w:p w:rsidR="005E53B6" w:rsidRDefault="005E53B6" w:rsidP="00570A86">
            <w:pPr>
              <w:tabs>
                <w:tab w:val="left" w:pos="5423"/>
              </w:tabs>
            </w:pPr>
            <w:r>
              <w:rPr>
                <w:i/>
                <w:iCs/>
              </w:rPr>
              <w:t xml:space="preserve">Escherichia coli </w:t>
            </w:r>
            <w:r>
              <w:t>O157:H7</w:t>
            </w:r>
            <w:r w:rsidR="00570A86">
              <w:tab/>
            </w:r>
            <w:r>
              <w:t>Not detected in 25g</w:t>
            </w:r>
          </w:p>
          <w:p w:rsidR="00570A86" w:rsidRDefault="005E53B6" w:rsidP="00570A86">
            <w:pPr>
              <w:tabs>
                <w:tab w:val="left" w:pos="5423"/>
              </w:tabs>
            </w:pPr>
            <w:r>
              <w:t>All other pathogens not stated above,</w:t>
            </w:r>
            <w:r w:rsidR="00570A86">
              <w:tab/>
              <w:t>Not detected</w:t>
            </w:r>
          </w:p>
          <w:p w:rsidR="005E53B6" w:rsidRDefault="00D042ED" w:rsidP="00D042ED">
            <w:pPr>
              <w:tabs>
                <w:tab w:val="left" w:pos="5140"/>
              </w:tabs>
              <w:spacing w:after="360"/>
            </w:pPr>
            <w:r>
              <w:t>i</w:t>
            </w:r>
            <w:r w:rsidR="005E53B6">
              <w:t>ncluding</w:t>
            </w:r>
            <w:r>
              <w:t xml:space="preserve"> </w:t>
            </w:r>
            <w:r w:rsidR="005E53B6">
              <w:rPr>
                <w:i/>
                <w:iCs/>
              </w:rPr>
              <w:t xml:space="preserve">Streptococcus </w:t>
            </w:r>
            <w:proofErr w:type="spellStart"/>
            <w:r w:rsidR="005E53B6">
              <w:rPr>
                <w:i/>
                <w:iCs/>
              </w:rPr>
              <w:t>agalactiae</w:t>
            </w:r>
            <w:proofErr w:type="spellEnd"/>
            <w:r w:rsidR="005E53B6">
              <w:t xml:space="preserve"> (serotype III)</w:t>
            </w:r>
          </w:p>
          <w:p w:rsidR="005E53B6" w:rsidRDefault="005E53B6" w:rsidP="00D042ED">
            <w:pPr>
              <w:spacing w:before="480" w:after="120"/>
            </w:pPr>
            <w:r>
              <w:lastRenderedPageBreak/>
              <w:t>Singapore notes that the revised microbiological standard for ready-to-eat food would be trade facilitative for most products compared to the existing standard. Hence, we plan to implement the measure one month after the close of the comment period in Nov</w:t>
            </w:r>
            <w:r w:rsidR="00837266">
              <w:t>ember</w:t>
            </w:r>
            <w:r>
              <w:t xml:space="preserve"> 2017. However, we are ready to provide a longer transition period if such a need is identified during the comment period.</w:t>
            </w:r>
            <w:bookmarkStart w:id="11" w:name="sps6a"/>
            <w:bookmarkEnd w:id="11"/>
          </w:p>
        </w:tc>
      </w:tr>
      <w:tr w:rsidR="005E53B6" w:rsidRPr="00656ABC" w:rsidTr="006743EA">
        <w:trPr>
          <w:jc w:val="center"/>
        </w:trPr>
        <w:tc>
          <w:tcPr>
            <w:tcW w:w="707" w:type="dxa"/>
            <w:tcBorders>
              <w:top w:val="single" w:sz="4" w:space="0" w:color="auto"/>
            </w:tcBorders>
            <w:shd w:val="clear" w:color="auto" w:fill="auto"/>
          </w:tcPr>
          <w:p w:rsidR="005E53B6" w:rsidRPr="00656ABC" w:rsidRDefault="005E53B6" w:rsidP="005E53B6">
            <w:pPr>
              <w:spacing w:before="120" w:after="120"/>
              <w:jc w:val="left"/>
            </w:pPr>
            <w:r w:rsidRPr="00656ABC">
              <w:rPr>
                <w:b/>
              </w:rPr>
              <w:lastRenderedPageBreak/>
              <w:t>7.</w:t>
            </w:r>
          </w:p>
        </w:tc>
        <w:tc>
          <w:tcPr>
            <w:tcW w:w="8320" w:type="dxa"/>
            <w:tcBorders>
              <w:top w:val="single" w:sz="4" w:space="0" w:color="auto"/>
            </w:tcBorders>
            <w:shd w:val="clear" w:color="auto" w:fill="auto"/>
          </w:tcPr>
          <w:p w:rsidR="005E53B6" w:rsidRPr="00656ABC" w:rsidRDefault="005E53B6" w:rsidP="005E53B6">
            <w:pPr>
              <w:spacing w:before="120" w:after="120"/>
            </w:pPr>
            <w:r w:rsidRPr="00656ABC">
              <w:rPr>
                <w:b/>
              </w:rPr>
              <w:t>Objective and rationale: [</w:t>
            </w:r>
            <w:bookmarkStart w:id="12" w:name="sps7a"/>
            <w:r w:rsidRPr="00656ABC">
              <w:rPr>
                <w:b/>
              </w:rPr>
              <w:t>X</w:t>
            </w:r>
            <w:bookmarkEnd w:id="12"/>
            <w:r w:rsidRPr="00656ABC">
              <w:rPr>
                <w:b/>
              </w:rPr>
              <w:t>] food safety, [ ]</w:t>
            </w:r>
            <w:bookmarkStart w:id="13" w:name="sps7b"/>
            <w:bookmarkEnd w:id="13"/>
            <w:r w:rsidRPr="00656ABC">
              <w:rPr>
                <w:b/>
              </w:rPr>
              <w:t> animal health, [ ]</w:t>
            </w:r>
            <w:bookmarkStart w:id="14" w:name="sps7c"/>
            <w:bookmarkEnd w:id="14"/>
            <w:r w:rsidRPr="00656ABC">
              <w:rPr>
                <w:b/>
              </w:rPr>
              <w:t> plant protection, [ ]</w:t>
            </w:r>
            <w:bookmarkStart w:id="15" w:name="sps7d"/>
            <w:bookmarkEnd w:id="15"/>
            <w:r w:rsidRPr="00656ABC">
              <w:rPr>
                <w:b/>
              </w:rPr>
              <w:t> protect humans from animal/plant pest or disease, [ ]</w:t>
            </w:r>
            <w:bookmarkStart w:id="16" w:name="sps7e"/>
            <w:bookmarkEnd w:id="16"/>
            <w:r w:rsidRPr="00656ABC">
              <w:rPr>
                <w:b/>
              </w:rPr>
              <w:t xml:space="preserve"> protect territory from other damage from pests. </w:t>
            </w:r>
            <w:bookmarkStart w:id="17" w:name="sps7f"/>
            <w:bookmarkEnd w:id="17"/>
          </w:p>
        </w:tc>
      </w:tr>
      <w:tr w:rsidR="005E53B6" w:rsidRPr="00656ABC" w:rsidTr="005E53B6">
        <w:trPr>
          <w:jc w:val="center"/>
        </w:trPr>
        <w:tc>
          <w:tcPr>
            <w:tcW w:w="707" w:type="dxa"/>
            <w:tcBorders>
              <w:bottom w:val="single" w:sz="4" w:space="0" w:color="auto"/>
            </w:tcBorders>
            <w:shd w:val="clear" w:color="auto" w:fill="auto"/>
          </w:tcPr>
          <w:p w:rsidR="005E53B6" w:rsidRPr="00656ABC" w:rsidRDefault="005E53B6" w:rsidP="005E53B6">
            <w:pPr>
              <w:spacing w:before="120" w:after="120"/>
              <w:jc w:val="left"/>
              <w:rPr>
                <w:b/>
              </w:rPr>
            </w:pPr>
            <w:r w:rsidRPr="00656ABC">
              <w:rPr>
                <w:b/>
              </w:rPr>
              <w:t>8.</w:t>
            </w:r>
          </w:p>
        </w:tc>
        <w:tc>
          <w:tcPr>
            <w:tcW w:w="8320" w:type="dxa"/>
            <w:tcBorders>
              <w:bottom w:val="single" w:sz="4" w:space="0" w:color="auto"/>
            </w:tcBorders>
            <w:shd w:val="clear" w:color="auto" w:fill="auto"/>
          </w:tcPr>
          <w:p w:rsidR="005E53B6" w:rsidRPr="00656ABC" w:rsidRDefault="005E53B6" w:rsidP="005E53B6">
            <w:pPr>
              <w:spacing w:before="120" w:after="120"/>
            </w:pPr>
            <w:r w:rsidRPr="00656ABC">
              <w:rPr>
                <w:b/>
              </w:rPr>
              <w:t>Is there a relevant international standard? If so, identify the standard:</w:t>
            </w:r>
          </w:p>
          <w:p w:rsidR="005E53B6" w:rsidRPr="00656ABC" w:rsidRDefault="005E53B6" w:rsidP="005E53B6">
            <w:pPr>
              <w:spacing w:after="120"/>
              <w:ind w:left="720" w:hanging="720"/>
            </w:pPr>
            <w:r w:rsidRPr="007E510C">
              <w:rPr>
                <w:b/>
                <w:lang w:val="en-US"/>
              </w:rPr>
              <w:t>[ ]</w:t>
            </w:r>
            <w:bookmarkStart w:id="18" w:name="sps8a"/>
            <w:bookmarkEnd w:id="18"/>
            <w:r w:rsidRPr="007E510C">
              <w:rPr>
                <w:b/>
                <w:lang w:val="en-US"/>
              </w:rPr>
              <w:tab/>
              <w:t xml:space="preserve">Codex </w:t>
            </w:r>
            <w:proofErr w:type="spellStart"/>
            <w:r w:rsidRPr="007E510C">
              <w:rPr>
                <w:b/>
                <w:lang w:val="en-US"/>
              </w:rPr>
              <w:t>Alimentarius</w:t>
            </w:r>
            <w:proofErr w:type="spellEnd"/>
            <w:r w:rsidRPr="007E510C">
              <w:rPr>
                <w:b/>
                <w:lang w:val="en-US"/>
              </w:rPr>
              <w:t xml:space="preserve"> Commission </w:t>
            </w:r>
            <w:r w:rsidRPr="007E510C">
              <w:rPr>
                <w:b/>
                <w:i/>
                <w:lang w:val="en-US"/>
              </w:rPr>
              <w:t>(e.g. </w:t>
            </w:r>
            <w:r w:rsidRPr="00656ABC">
              <w:rPr>
                <w:b/>
                <w:i/>
              </w:rPr>
              <w:t>title or serial number of Codex standard or related text)</w:t>
            </w:r>
            <w:r>
              <w:rPr>
                <w:b/>
              </w:rPr>
              <w:t>:</w:t>
            </w:r>
            <w:r w:rsidRPr="00656ABC">
              <w:rPr>
                <w:b/>
                <w:i/>
              </w:rPr>
              <w:t xml:space="preserve"> </w:t>
            </w:r>
            <w:bookmarkStart w:id="19" w:name="sps8atext"/>
            <w:bookmarkEnd w:id="19"/>
          </w:p>
          <w:p w:rsidR="005E53B6" w:rsidRPr="00656ABC" w:rsidRDefault="005E53B6" w:rsidP="005E53B6">
            <w:pPr>
              <w:spacing w:after="120"/>
              <w:ind w:left="720" w:hanging="720"/>
              <w:rPr>
                <w:b/>
              </w:rPr>
            </w:pPr>
            <w:r w:rsidRPr="00656ABC">
              <w:rPr>
                <w:b/>
              </w:rPr>
              <w:t>[ ]</w:t>
            </w:r>
            <w:bookmarkStart w:id="20" w:name="sps8b"/>
            <w:bookmarkEnd w:id="20"/>
            <w:r w:rsidRPr="00656ABC">
              <w:rPr>
                <w:b/>
              </w:rPr>
              <w:tab/>
              <w:t xml:space="preserve">World Organization for Animal Health (OIE) </w:t>
            </w:r>
            <w:r w:rsidRPr="00656ABC">
              <w:rPr>
                <w:b/>
                <w:i/>
              </w:rPr>
              <w:t>(e.g. Terrestrial or Aquatic Animal Health Code, chapter number)</w:t>
            </w:r>
            <w:r>
              <w:rPr>
                <w:b/>
              </w:rPr>
              <w:t>:</w:t>
            </w:r>
            <w:r w:rsidRPr="00656ABC">
              <w:rPr>
                <w:b/>
              </w:rPr>
              <w:t xml:space="preserve"> </w:t>
            </w:r>
            <w:bookmarkStart w:id="21" w:name="sps8btext"/>
            <w:bookmarkEnd w:id="21"/>
          </w:p>
          <w:p w:rsidR="005E53B6" w:rsidRPr="00656ABC" w:rsidRDefault="005E53B6" w:rsidP="005E53B6">
            <w:pPr>
              <w:spacing w:after="120"/>
              <w:ind w:left="720" w:hanging="720"/>
              <w:rPr>
                <w:b/>
              </w:rPr>
            </w:pPr>
            <w:r w:rsidRPr="00656ABC">
              <w:rPr>
                <w:b/>
              </w:rPr>
              <w:t>[ ]</w:t>
            </w:r>
            <w:bookmarkStart w:id="22" w:name="sps8c"/>
            <w:bookmarkEnd w:id="22"/>
            <w:r w:rsidRPr="00656ABC">
              <w:rPr>
                <w:b/>
              </w:rPr>
              <w:tab/>
              <w:t xml:space="preserve">International Plant Protection Convention </w:t>
            </w:r>
            <w:r w:rsidRPr="00656ABC">
              <w:rPr>
                <w:b/>
                <w:i/>
              </w:rPr>
              <w:t>(e.g. ISPM number)</w:t>
            </w:r>
            <w:r>
              <w:rPr>
                <w:b/>
              </w:rPr>
              <w:t>:</w:t>
            </w:r>
            <w:r w:rsidRPr="00656ABC">
              <w:rPr>
                <w:b/>
              </w:rPr>
              <w:t xml:space="preserve"> </w:t>
            </w:r>
            <w:bookmarkStart w:id="23" w:name="sps8ctext"/>
            <w:bookmarkEnd w:id="23"/>
          </w:p>
          <w:p w:rsidR="005E53B6" w:rsidRPr="00656ABC" w:rsidRDefault="005E53B6" w:rsidP="005E53B6">
            <w:pPr>
              <w:spacing w:after="120"/>
              <w:ind w:left="720" w:hanging="720"/>
              <w:rPr>
                <w:b/>
              </w:rPr>
            </w:pPr>
            <w:r w:rsidRPr="00656ABC">
              <w:rPr>
                <w:b/>
              </w:rPr>
              <w:t>[</w:t>
            </w:r>
            <w:bookmarkStart w:id="24" w:name="sps8d"/>
            <w:r w:rsidRPr="00656ABC">
              <w:rPr>
                <w:b/>
              </w:rPr>
              <w:t>X</w:t>
            </w:r>
            <w:bookmarkEnd w:id="24"/>
            <w:r w:rsidRPr="00656ABC">
              <w:rPr>
                <w:b/>
              </w:rPr>
              <w:t>]</w:t>
            </w:r>
            <w:r w:rsidRPr="00656ABC">
              <w:rPr>
                <w:b/>
              </w:rPr>
              <w:tab/>
              <w:t>None</w:t>
            </w:r>
          </w:p>
          <w:p w:rsidR="005E53B6" w:rsidRPr="00656ABC" w:rsidRDefault="005E53B6" w:rsidP="005E53B6">
            <w:pPr>
              <w:spacing w:after="120"/>
              <w:rPr>
                <w:b/>
              </w:rPr>
            </w:pPr>
            <w:r w:rsidRPr="00656ABC">
              <w:rPr>
                <w:b/>
              </w:rPr>
              <w:t xml:space="preserve">Does this proposed regulation conform to the relevant international standard?  </w:t>
            </w:r>
          </w:p>
          <w:p w:rsidR="005E53B6" w:rsidRPr="00656ABC" w:rsidRDefault="005E53B6" w:rsidP="005E53B6">
            <w:pPr>
              <w:spacing w:after="120"/>
              <w:rPr>
                <w:b/>
              </w:rPr>
            </w:pPr>
            <w:r w:rsidRPr="00656ABC">
              <w:rPr>
                <w:b/>
              </w:rPr>
              <w:t>[ ]</w:t>
            </w:r>
            <w:bookmarkStart w:id="25" w:name="sps8ey"/>
            <w:bookmarkEnd w:id="25"/>
            <w:r w:rsidRPr="00656ABC">
              <w:rPr>
                <w:b/>
              </w:rPr>
              <w:t xml:space="preserve"> Yes   [ ]</w:t>
            </w:r>
            <w:bookmarkStart w:id="26" w:name="sps8en"/>
            <w:bookmarkEnd w:id="26"/>
            <w:r w:rsidRPr="00656ABC">
              <w:rPr>
                <w:b/>
              </w:rPr>
              <w:t xml:space="preserve"> No</w:t>
            </w:r>
          </w:p>
          <w:p w:rsidR="005E53B6" w:rsidRPr="00656ABC" w:rsidRDefault="005E53B6" w:rsidP="005E53B6">
            <w:pPr>
              <w:spacing w:after="120"/>
            </w:pPr>
            <w:r w:rsidRPr="00656ABC">
              <w:rPr>
                <w:b/>
              </w:rPr>
              <w:t xml:space="preserve">If no, describe, whenever possible, how and why it deviates from the international standard: </w:t>
            </w:r>
            <w:bookmarkStart w:id="27" w:name="sps8e"/>
            <w:r w:rsidRPr="00656ABC">
              <w:t xml:space="preserve">Not applicable, as there is no relevant international standard. However, the "Codex Principles for the Establishment and Application of Microbiological Criteria for Foods (CAC/GL 21-1997)" </w:t>
            </w:r>
            <w:proofErr w:type="gramStart"/>
            <w:r w:rsidRPr="00656ABC">
              <w:t>was</w:t>
            </w:r>
            <w:proofErr w:type="gramEnd"/>
            <w:r w:rsidRPr="00656ABC">
              <w:t xml:space="preserve"> referenced in the development.</w:t>
            </w:r>
            <w:bookmarkEnd w:id="27"/>
          </w:p>
        </w:tc>
      </w:tr>
      <w:tr w:rsidR="005E53B6" w:rsidRPr="00656ABC" w:rsidTr="005E53B6">
        <w:trPr>
          <w:jc w:val="center"/>
        </w:trPr>
        <w:tc>
          <w:tcPr>
            <w:tcW w:w="707" w:type="dxa"/>
            <w:tcBorders>
              <w:top w:val="single" w:sz="4" w:space="0" w:color="auto"/>
              <w:bottom w:val="single" w:sz="4" w:space="0" w:color="auto"/>
            </w:tcBorders>
            <w:shd w:val="clear" w:color="auto" w:fill="auto"/>
          </w:tcPr>
          <w:p w:rsidR="005E53B6" w:rsidRPr="00656ABC" w:rsidRDefault="005E53B6" w:rsidP="005E53B6">
            <w:pPr>
              <w:spacing w:before="120" w:after="120"/>
              <w:jc w:val="left"/>
            </w:pPr>
            <w:r w:rsidRPr="00656ABC">
              <w:rPr>
                <w:b/>
              </w:rPr>
              <w:t>9.</w:t>
            </w:r>
          </w:p>
        </w:tc>
        <w:tc>
          <w:tcPr>
            <w:tcW w:w="8320" w:type="dxa"/>
            <w:tcBorders>
              <w:top w:val="single" w:sz="4" w:space="0" w:color="auto"/>
              <w:bottom w:val="single" w:sz="4" w:space="0" w:color="auto"/>
            </w:tcBorders>
            <w:shd w:val="clear" w:color="auto" w:fill="auto"/>
          </w:tcPr>
          <w:p w:rsidR="005E53B6" w:rsidRPr="00656ABC" w:rsidRDefault="005E53B6" w:rsidP="005E53B6">
            <w:pPr>
              <w:spacing w:before="120" w:after="120"/>
            </w:pPr>
            <w:r w:rsidRPr="00656ABC">
              <w:rPr>
                <w:b/>
              </w:rPr>
              <w:t xml:space="preserve">Other relevant documents and language(s) in which these are available: </w:t>
            </w:r>
            <w:bookmarkStart w:id="28" w:name="sps9a"/>
            <w:bookmarkEnd w:id="28"/>
            <w:r w:rsidRPr="00656ABC">
              <w:rPr>
                <w:bCs/>
              </w:rPr>
              <w:t xml:space="preserve"> </w:t>
            </w:r>
            <w:bookmarkStart w:id="29" w:name="sps9b"/>
            <w:bookmarkEnd w:id="29"/>
          </w:p>
        </w:tc>
      </w:tr>
      <w:tr w:rsidR="005E53B6" w:rsidRPr="00656ABC" w:rsidTr="005E53B6">
        <w:trPr>
          <w:jc w:val="center"/>
        </w:trPr>
        <w:tc>
          <w:tcPr>
            <w:tcW w:w="707" w:type="dxa"/>
            <w:tcBorders>
              <w:top w:val="single" w:sz="4" w:space="0" w:color="auto"/>
              <w:bottom w:val="single" w:sz="4" w:space="0" w:color="auto"/>
            </w:tcBorders>
            <w:shd w:val="clear" w:color="auto" w:fill="auto"/>
          </w:tcPr>
          <w:p w:rsidR="005E53B6" w:rsidRPr="00656ABC" w:rsidRDefault="005E53B6" w:rsidP="005E53B6">
            <w:pPr>
              <w:spacing w:before="120" w:after="120"/>
              <w:jc w:val="left"/>
            </w:pPr>
            <w:r w:rsidRPr="00656ABC">
              <w:rPr>
                <w:b/>
              </w:rPr>
              <w:t>10.</w:t>
            </w:r>
          </w:p>
        </w:tc>
        <w:tc>
          <w:tcPr>
            <w:tcW w:w="8320" w:type="dxa"/>
            <w:tcBorders>
              <w:top w:val="single" w:sz="4" w:space="0" w:color="auto"/>
              <w:bottom w:val="single" w:sz="4" w:space="0" w:color="auto"/>
            </w:tcBorders>
            <w:shd w:val="clear" w:color="auto" w:fill="auto"/>
          </w:tcPr>
          <w:p w:rsidR="005E53B6" w:rsidRPr="00656ABC" w:rsidRDefault="005E53B6" w:rsidP="005E53B6">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r>
              <w:t>November 2017</w:t>
            </w:r>
            <w:bookmarkStart w:id="30" w:name="sps10a"/>
            <w:bookmarkEnd w:id="30"/>
          </w:p>
          <w:p w:rsidR="005E53B6" w:rsidRPr="00656ABC" w:rsidRDefault="005E53B6" w:rsidP="005E53B6">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r>
              <w:t>November 2017</w:t>
            </w:r>
            <w:bookmarkStart w:id="31" w:name="sps10bisa"/>
            <w:bookmarkEnd w:id="31"/>
          </w:p>
        </w:tc>
      </w:tr>
      <w:tr w:rsidR="005E53B6" w:rsidRPr="00656ABC" w:rsidTr="005E53B6">
        <w:trPr>
          <w:jc w:val="center"/>
        </w:trPr>
        <w:tc>
          <w:tcPr>
            <w:tcW w:w="707" w:type="dxa"/>
            <w:tcBorders>
              <w:top w:val="single" w:sz="4" w:space="0" w:color="auto"/>
              <w:bottom w:val="single" w:sz="4" w:space="0" w:color="auto"/>
            </w:tcBorders>
            <w:shd w:val="clear" w:color="auto" w:fill="auto"/>
          </w:tcPr>
          <w:p w:rsidR="005E53B6" w:rsidRPr="00656ABC" w:rsidRDefault="005E53B6" w:rsidP="005E53B6">
            <w:pPr>
              <w:spacing w:before="120" w:after="120"/>
              <w:jc w:val="left"/>
            </w:pPr>
            <w:r w:rsidRPr="00656ABC">
              <w:rPr>
                <w:b/>
              </w:rPr>
              <w:t>11.</w:t>
            </w:r>
          </w:p>
        </w:tc>
        <w:tc>
          <w:tcPr>
            <w:tcW w:w="8320" w:type="dxa"/>
            <w:tcBorders>
              <w:top w:val="single" w:sz="4" w:space="0" w:color="auto"/>
              <w:bottom w:val="single" w:sz="4" w:space="0" w:color="auto"/>
            </w:tcBorders>
            <w:shd w:val="clear" w:color="auto" w:fill="auto"/>
          </w:tcPr>
          <w:p w:rsidR="005E53B6" w:rsidRPr="00656ABC" w:rsidRDefault="005E53B6" w:rsidP="005E53B6">
            <w:pPr>
              <w:spacing w:before="120" w:after="120"/>
            </w:pPr>
            <w:r w:rsidRPr="00656ABC">
              <w:rPr>
                <w:b/>
              </w:rPr>
              <w:t>Proposed date of entry into force: [ ]</w:t>
            </w:r>
            <w:bookmarkStart w:id="32" w:name="sps11c"/>
            <w:bookmarkEnd w:id="32"/>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r>
              <w:t>November 2017</w:t>
            </w:r>
            <w:bookmarkStart w:id="33" w:name="sps11a"/>
            <w:bookmarkEnd w:id="33"/>
          </w:p>
          <w:p w:rsidR="005E53B6" w:rsidRPr="00656ABC" w:rsidRDefault="005E53B6" w:rsidP="005E53B6">
            <w:pPr>
              <w:spacing w:after="120"/>
              <w:ind w:left="607" w:hanging="607"/>
              <w:rPr>
                <w:b/>
              </w:rPr>
            </w:pPr>
            <w:r w:rsidRPr="00656ABC">
              <w:rPr>
                <w:b/>
              </w:rPr>
              <w:t>[ ]</w:t>
            </w:r>
            <w:bookmarkStart w:id="34" w:name="sps11e"/>
            <w:bookmarkEnd w:id="34"/>
            <w:r w:rsidRPr="00656ABC">
              <w:rPr>
                <w:b/>
              </w:rPr>
              <w:tab/>
              <w:t xml:space="preserve">Trade facilitating measure </w:t>
            </w:r>
            <w:bookmarkStart w:id="35" w:name="sps11ebis"/>
            <w:bookmarkEnd w:id="35"/>
          </w:p>
        </w:tc>
      </w:tr>
      <w:tr w:rsidR="005E53B6" w:rsidRPr="00656ABC" w:rsidTr="005E53B6">
        <w:trPr>
          <w:jc w:val="center"/>
        </w:trPr>
        <w:tc>
          <w:tcPr>
            <w:tcW w:w="707" w:type="dxa"/>
            <w:tcBorders>
              <w:top w:val="single" w:sz="4" w:space="0" w:color="auto"/>
              <w:bottom w:val="single" w:sz="4" w:space="0" w:color="auto"/>
            </w:tcBorders>
            <w:shd w:val="clear" w:color="auto" w:fill="auto"/>
          </w:tcPr>
          <w:p w:rsidR="005E53B6" w:rsidRPr="00656ABC" w:rsidRDefault="005E53B6" w:rsidP="005E53B6">
            <w:pPr>
              <w:spacing w:before="120" w:after="120"/>
              <w:jc w:val="left"/>
            </w:pPr>
            <w:r w:rsidRPr="00656ABC">
              <w:rPr>
                <w:b/>
              </w:rPr>
              <w:t>12.</w:t>
            </w:r>
          </w:p>
        </w:tc>
        <w:tc>
          <w:tcPr>
            <w:tcW w:w="8320" w:type="dxa"/>
            <w:tcBorders>
              <w:top w:val="single" w:sz="4" w:space="0" w:color="auto"/>
              <w:bottom w:val="single" w:sz="4" w:space="0" w:color="auto"/>
            </w:tcBorders>
            <w:shd w:val="clear" w:color="auto" w:fill="auto"/>
          </w:tcPr>
          <w:p w:rsidR="005E53B6" w:rsidRPr="00656ABC" w:rsidRDefault="005E53B6" w:rsidP="005E53B6">
            <w:pPr>
              <w:spacing w:before="120" w:after="120"/>
            </w:pPr>
            <w:r w:rsidRPr="00656ABC">
              <w:rPr>
                <w:b/>
              </w:rPr>
              <w:t>Final date for comments: [</w:t>
            </w:r>
            <w:bookmarkStart w:id="36" w:name="sps12e"/>
            <w:r w:rsidRPr="00656ABC">
              <w:rPr>
                <w:b/>
              </w:rPr>
              <w:t>X</w:t>
            </w:r>
            <w:bookmarkEnd w:id="36"/>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7" w:name="sps12a"/>
            <w:r w:rsidR="007847AD">
              <w:t>2</w:t>
            </w:r>
            <w:r w:rsidRPr="00656ABC">
              <w:t xml:space="preserve"> </w:t>
            </w:r>
            <w:r w:rsidR="007847AD">
              <w:t>Novem</w:t>
            </w:r>
            <w:r w:rsidRPr="00656ABC">
              <w:t>ber 2017</w:t>
            </w:r>
            <w:bookmarkEnd w:id="37"/>
          </w:p>
          <w:p w:rsidR="005E53B6" w:rsidRPr="00656ABC" w:rsidRDefault="005E53B6" w:rsidP="005E53B6">
            <w:pPr>
              <w:spacing w:after="120"/>
            </w:pPr>
            <w:r w:rsidRPr="00656ABC">
              <w:rPr>
                <w:b/>
              </w:rPr>
              <w:t>Agency or authority designated to handle comments: [ ]</w:t>
            </w:r>
            <w:bookmarkStart w:id="38" w:name="sps12b"/>
            <w:bookmarkEnd w:id="38"/>
            <w:r w:rsidRPr="00656ABC">
              <w:rPr>
                <w:b/>
              </w:rPr>
              <w:t> National Notification Authority, [</w:t>
            </w:r>
            <w:bookmarkStart w:id="39" w:name="sps12c"/>
            <w:r w:rsidRPr="00656ABC">
              <w:rPr>
                <w:b/>
              </w:rPr>
              <w:t>X</w:t>
            </w:r>
            <w:bookmarkEnd w:id="39"/>
            <w:r w:rsidRPr="00656ABC">
              <w:rPr>
                <w:b/>
              </w:rPr>
              <w:t>] National Enquiry Point. Address, fax number and e</w:t>
            </w:r>
            <w:r w:rsidRPr="00656ABC">
              <w:rPr>
                <w:b/>
              </w:rPr>
              <w:noBreakHyphen/>
              <w:t xml:space="preserve">mail address (if available) of other body: </w:t>
            </w:r>
            <w:bookmarkStart w:id="40" w:name="sps12d"/>
            <w:bookmarkEnd w:id="40"/>
          </w:p>
        </w:tc>
      </w:tr>
      <w:tr w:rsidR="005E53B6" w:rsidRPr="00F445D6" w:rsidTr="005E53B6">
        <w:trPr>
          <w:jc w:val="center"/>
        </w:trPr>
        <w:tc>
          <w:tcPr>
            <w:tcW w:w="707" w:type="dxa"/>
            <w:tcBorders>
              <w:top w:val="single" w:sz="4" w:space="0" w:color="auto"/>
            </w:tcBorders>
            <w:shd w:val="clear" w:color="auto" w:fill="auto"/>
          </w:tcPr>
          <w:p w:rsidR="005E53B6" w:rsidRPr="00656ABC" w:rsidRDefault="005E53B6" w:rsidP="005E53B6">
            <w:pPr>
              <w:spacing w:before="120" w:after="120"/>
              <w:jc w:val="left"/>
            </w:pPr>
            <w:r w:rsidRPr="00656ABC">
              <w:rPr>
                <w:b/>
              </w:rPr>
              <w:t>13.</w:t>
            </w:r>
          </w:p>
        </w:tc>
        <w:tc>
          <w:tcPr>
            <w:tcW w:w="8320" w:type="dxa"/>
            <w:tcBorders>
              <w:top w:val="single" w:sz="4" w:space="0" w:color="auto"/>
            </w:tcBorders>
            <w:shd w:val="clear" w:color="auto" w:fill="auto"/>
          </w:tcPr>
          <w:p w:rsidR="005E53B6" w:rsidRPr="00656ABC" w:rsidRDefault="005E53B6" w:rsidP="005E53B6">
            <w:pPr>
              <w:spacing w:before="120" w:after="120"/>
              <w:rPr>
                <w:b/>
              </w:rPr>
            </w:pPr>
            <w:r>
              <w:rPr>
                <w:b/>
              </w:rPr>
              <w:t>Text(s)</w:t>
            </w:r>
            <w:r w:rsidRPr="00656ABC">
              <w:rPr>
                <w:b/>
              </w:rPr>
              <w:t xml:space="preserve"> available from: [ ]</w:t>
            </w:r>
            <w:bookmarkStart w:id="41" w:name="sps13a"/>
            <w:bookmarkEnd w:id="41"/>
            <w:r w:rsidRPr="00656ABC">
              <w:rPr>
                <w:b/>
              </w:rPr>
              <w:t> National Notification Authority, [</w:t>
            </w:r>
            <w:bookmarkStart w:id="42" w:name="sps13b"/>
            <w:r w:rsidRPr="00656ABC">
              <w:rPr>
                <w:b/>
              </w:rPr>
              <w:t>X</w:t>
            </w:r>
            <w:bookmarkEnd w:id="42"/>
            <w:r w:rsidRPr="00656ABC">
              <w:rPr>
                <w:b/>
              </w:rPr>
              <w:t>] National Enquiry Point. Address, fax number and e</w:t>
            </w:r>
            <w:r w:rsidRPr="00656ABC">
              <w:rPr>
                <w:b/>
              </w:rPr>
              <w:noBreakHyphen/>
              <w:t>mail address (if available) of other body:</w:t>
            </w:r>
            <w:r w:rsidRPr="00656ABC">
              <w:rPr>
                <w:bCs/>
              </w:rPr>
              <w:t xml:space="preserve"> </w:t>
            </w:r>
          </w:p>
          <w:p w:rsidR="005E53B6" w:rsidRDefault="005E53B6">
            <w:r>
              <w:t>The proposed regulations are being drafted, and will be posted at the following website as soon as they are available:</w:t>
            </w:r>
            <w:r w:rsidR="00077377">
              <w:t xml:space="preserve"> </w:t>
            </w:r>
            <w:hyperlink r:id="rId10" w:tgtFrame="_blank" w:history="1">
              <w:r>
                <w:rPr>
                  <w:color w:val="0000FF"/>
                  <w:u w:val="single"/>
                </w:rPr>
                <w:t>http://www.ava.gov.sg/legislation</w:t>
              </w:r>
            </w:hyperlink>
            <w:r>
              <w:t xml:space="preserve"> </w:t>
            </w:r>
            <w:r>
              <w:rPr>
                <w:i/>
                <w:iCs/>
              </w:rPr>
              <w:t>(select "Sale of Food Act").</w:t>
            </w:r>
          </w:p>
          <w:p w:rsidR="005E53B6" w:rsidRDefault="005E53B6"/>
          <w:p w:rsidR="005E53B6" w:rsidRDefault="005E53B6">
            <w:r>
              <w:t>Alternatively, please write in to:</w:t>
            </w:r>
          </w:p>
          <w:p w:rsidR="005E53B6" w:rsidRDefault="005E53B6">
            <w:r>
              <w:t>Regulatory Administration Group</w:t>
            </w:r>
          </w:p>
          <w:p w:rsidR="005E53B6" w:rsidRDefault="005E53B6">
            <w:proofErr w:type="spellStart"/>
            <w:r>
              <w:t>Agri</w:t>
            </w:r>
            <w:proofErr w:type="spellEnd"/>
            <w:r>
              <w:t>-Food and Veterinary Authority</w:t>
            </w:r>
          </w:p>
          <w:p w:rsidR="005E53B6" w:rsidRDefault="005E53B6">
            <w:r>
              <w:t xml:space="preserve">52 </w:t>
            </w:r>
            <w:proofErr w:type="spellStart"/>
            <w:r>
              <w:t>Jurong</w:t>
            </w:r>
            <w:proofErr w:type="spellEnd"/>
            <w:r>
              <w:t xml:space="preserve"> Gateway Road #14-01</w:t>
            </w:r>
          </w:p>
          <w:p w:rsidR="005E53B6" w:rsidRDefault="005E53B6">
            <w:r>
              <w:t>Singapore 608550</w:t>
            </w:r>
          </w:p>
          <w:p w:rsidR="005E53B6" w:rsidRDefault="005E53B6">
            <w:r>
              <w:t>Tel: +(65) 6805 2912</w:t>
            </w:r>
          </w:p>
          <w:p w:rsidR="005E53B6" w:rsidRPr="00F32DFC" w:rsidRDefault="005E53B6">
            <w:pPr>
              <w:rPr>
                <w:lang w:val="fr-CH"/>
              </w:rPr>
            </w:pPr>
            <w:r w:rsidRPr="00F32DFC">
              <w:rPr>
                <w:lang w:val="fr-CH"/>
              </w:rPr>
              <w:t>Fax: +(65) 6334 1831</w:t>
            </w:r>
          </w:p>
          <w:p w:rsidR="005E53B6" w:rsidRPr="00F32DFC" w:rsidRDefault="005E53B6" w:rsidP="00077377">
            <w:pPr>
              <w:tabs>
                <w:tab w:val="left" w:pos="726"/>
              </w:tabs>
              <w:rPr>
                <w:lang w:val="fr-CH"/>
              </w:rPr>
            </w:pPr>
            <w:r w:rsidRPr="00F32DFC">
              <w:rPr>
                <w:lang w:val="fr-CH"/>
              </w:rPr>
              <w:t>E-mail:</w:t>
            </w:r>
            <w:r w:rsidR="00077377">
              <w:rPr>
                <w:lang w:val="fr-CH"/>
              </w:rPr>
              <w:tab/>
            </w:r>
            <w:r w:rsidRPr="00F32DFC">
              <w:rPr>
                <w:lang w:val="fr-CH"/>
              </w:rPr>
              <w:t>WTO_Contact@ava.gov.sg</w:t>
            </w:r>
          </w:p>
          <w:p w:rsidR="005E53B6" w:rsidRPr="00F32DFC" w:rsidRDefault="00077377" w:rsidP="00077377">
            <w:pPr>
              <w:tabs>
                <w:tab w:val="left" w:pos="726"/>
              </w:tabs>
              <w:spacing w:after="120"/>
              <w:rPr>
                <w:lang w:val="fr-CH"/>
              </w:rPr>
            </w:pPr>
            <w:r>
              <w:rPr>
                <w:lang w:val="fr-CH"/>
              </w:rPr>
              <w:tab/>
            </w:r>
            <w:r w:rsidR="005E53B6" w:rsidRPr="00F32DFC">
              <w:rPr>
                <w:lang w:val="fr-CH"/>
              </w:rPr>
              <w:t>adelene_yap@ava.gov.sg</w:t>
            </w:r>
            <w:bookmarkStart w:id="43" w:name="sps13c"/>
            <w:bookmarkEnd w:id="43"/>
          </w:p>
        </w:tc>
      </w:tr>
    </w:tbl>
    <w:p w:rsidR="005E53B6" w:rsidRPr="00300CB5" w:rsidRDefault="005E53B6" w:rsidP="005E53B6">
      <w:pPr>
        <w:rPr>
          <w:sz w:val="2"/>
          <w:lang w:val="fr-CH"/>
        </w:rPr>
      </w:pPr>
    </w:p>
    <w:sectPr w:rsidR="005E53B6" w:rsidRPr="00300CB5" w:rsidSect="0077556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27" w:rsidRDefault="00770527" w:rsidP="005E53B6">
      <w:r>
        <w:separator/>
      </w:r>
    </w:p>
  </w:endnote>
  <w:endnote w:type="continuationSeparator" w:id="0">
    <w:p w:rsidR="00770527" w:rsidRDefault="00770527" w:rsidP="005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B6" w:rsidRPr="0077556D" w:rsidRDefault="0077556D" w:rsidP="0077556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B6" w:rsidRPr="0077556D" w:rsidRDefault="0077556D" w:rsidP="0077556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B6" w:rsidRPr="00821CFF" w:rsidRDefault="005E53B6" w:rsidP="005E53B6">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27" w:rsidRDefault="00770527" w:rsidP="005E53B6">
      <w:r>
        <w:separator/>
      </w:r>
    </w:p>
  </w:footnote>
  <w:footnote w:type="continuationSeparator" w:id="0">
    <w:p w:rsidR="00770527" w:rsidRDefault="00770527" w:rsidP="005E5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6D" w:rsidRPr="0077556D" w:rsidRDefault="0077556D" w:rsidP="0077556D">
    <w:pPr>
      <w:pStyle w:val="Header"/>
      <w:pBdr>
        <w:bottom w:val="single" w:sz="4" w:space="1" w:color="auto"/>
      </w:pBdr>
      <w:tabs>
        <w:tab w:val="clear" w:pos="4513"/>
        <w:tab w:val="clear" w:pos="9027"/>
      </w:tabs>
      <w:jc w:val="center"/>
    </w:pPr>
    <w:r w:rsidRPr="0077556D">
      <w:t>G/SPS/N/SGP/59</w:t>
    </w:r>
  </w:p>
  <w:p w:rsidR="0077556D" w:rsidRPr="0077556D" w:rsidRDefault="0077556D" w:rsidP="0077556D">
    <w:pPr>
      <w:pStyle w:val="Header"/>
      <w:pBdr>
        <w:bottom w:val="single" w:sz="4" w:space="1" w:color="auto"/>
      </w:pBdr>
      <w:tabs>
        <w:tab w:val="clear" w:pos="4513"/>
        <w:tab w:val="clear" w:pos="9027"/>
      </w:tabs>
      <w:jc w:val="center"/>
    </w:pPr>
  </w:p>
  <w:p w:rsidR="0077556D" w:rsidRPr="0077556D" w:rsidRDefault="0077556D" w:rsidP="0077556D">
    <w:pPr>
      <w:pStyle w:val="Header"/>
      <w:pBdr>
        <w:bottom w:val="single" w:sz="4" w:space="1" w:color="auto"/>
      </w:pBdr>
      <w:tabs>
        <w:tab w:val="clear" w:pos="4513"/>
        <w:tab w:val="clear" w:pos="9027"/>
      </w:tabs>
      <w:jc w:val="center"/>
    </w:pPr>
    <w:r w:rsidRPr="0077556D">
      <w:t xml:space="preserve">- </w:t>
    </w:r>
    <w:r w:rsidRPr="0077556D">
      <w:fldChar w:fldCharType="begin"/>
    </w:r>
    <w:r w:rsidRPr="0077556D">
      <w:instrText xml:space="preserve"> PAGE </w:instrText>
    </w:r>
    <w:r w:rsidRPr="0077556D">
      <w:fldChar w:fldCharType="separate"/>
    </w:r>
    <w:r w:rsidR="00F6572A">
      <w:rPr>
        <w:noProof/>
      </w:rPr>
      <w:t>2</w:t>
    </w:r>
    <w:r w:rsidRPr="0077556D">
      <w:fldChar w:fldCharType="end"/>
    </w:r>
    <w:r w:rsidRPr="0077556D">
      <w:t xml:space="preserve"> -</w:t>
    </w:r>
  </w:p>
  <w:p w:rsidR="005E53B6" w:rsidRPr="0077556D" w:rsidRDefault="005E53B6" w:rsidP="0077556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6D" w:rsidRPr="0077556D" w:rsidRDefault="0077556D" w:rsidP="0077556D">
    <w:pPr>
      <w:pStyle w:val="Header"/>
      <w:pBdr>
        <w:bottom w:val="single" w:sz="4" w:space="1" w:color="auto"/>
      </w:pBdr>
      <w:tabs>
        <w:tab w:val="clear" w:pos="4513"/>
        <w:tab w:val="clear" w:pos="9027"/>
      </w:tabs>
      <w:jc w:val="center"/>
    </w:pPr>
    <w:r w:rsidRPr="0077556D">
      <w:t>G/SPS/N/SGP/59</w:t>
    </w:r>
  </w:p>
  <w:p w:rsidR="0077556D" w:rsidRPr="0077556D" w:rsidRDefault="0077556D" w:rsidP="0077556D">
    <w:pPr>
      <w:pStyle w:val="Header"/>
      <w:pBdr>
        <w:bottom w:val="single" w:sz="4" w:space="1" w:color="auto"/>
      </w:pBdr>
      <w:tabs>
        <w:tab w:val="clear" w:pos="4513"/>
        <w:tab w:val="clear" w:pos="9027"/>
      </w:tabs>
      <w:jc w:val="center"/>
    </w:pPr>
  </w:p>
  <w:p w:rsidR="0077556D" w:rsidRPr="0077556D" w:rsidRDefault="0077556D" w:rsidP="0077556D">
    <w:pPr>
      <w:pStyle w:val="Header"/>
      <w:pBdr>
        <w:bottom w:val="single" w:sz="4" w:space="1" w:color="auto"/>
      </w:pBdr>
      <w:tabs>
        <w:tab w:val="clear" w:pos="4513"/>
        <w:tab w:val="clear" w:pos="9027"/>
      </w:tabs>
      <w:jc w:val="center"/>
    </w:pPr>
    <w:r w:rsidRPr="0077556D">
      <w:t xml:space="preserve">- </w:t>
    </w:r>
    <w:r w:rsidRPr="0077556D">
      <w:fldChar w:fldCharType="begin"/>
    </w:r>
    <w:r w:rsidRPr="0077556D">
      <w:instrText xml:space="preserve"> PAGE </w:instrText>
    </w:r>
    <w:r w:rsidRPr="0077556D">
      <w:fldChar w:fldCharType="separate"/>
    </w:r>
    <w:r w:rsidR="00F6572A">
      <w:rPr>
        <w:noProof/>
      </w:rPr>
      <w:t>3</w:t>
    </w:r>
    <w:r w:rsidRPr="0077556D">
      <w:fldChar w:fldCharType="end"/>
    </w:r>
    <w:r w:rsidRPr="0077556D">
      <w:t xml:space="preserve"> -</w:t>
    </w:r>
  </w:p>
  <w:p w:rsidR="005E53B6" w:rsidRPr="0077556D" w:rsidRDefault="005E53B6" w:rsidP="0077556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E53B6" w:rsidRPr="00EA4725" w:rsidTr="005E53B6">
      <w:trPr>
        <w:trHeight w:val="240"/>
        <w:jc w:val="center"/>
      </w:trPr>
      <w:tc>
        <w:tcPr>
          <w:tcW w:w="3794" w:type="dxa"/>
          <w:shd w:val="clear" w:color="auto" w:fill="FFFFFF"/>
          <w:tcMar>
            <w:left w:w="108" w:type="dxa"/>
            <w:right w:w="108" w:type="dxa"/>
          </w:tcMar>
          <w:vAlign w:val="center"/>
        </w:tcPr>
        <w:p w:rsidR="005E53B6" w:rsidRPr="00EA4725" w:rsidRDefault="005E53B6" w:rsidP="005E53B6">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5E53B6" w:rsidRPr="00EA4725" w:rsidRDefault="0077556D" w:rsidP="005E53B6">
          <w:pPr>
            <w:jc w:val="right"/>
            <w:rPr>
              <w:b/>
              <w:color w:val="FF0000"/>
              <w:szCs w:val="16"/>
            </w:rPr>
          </w:pPr>
          <w:r>
            <w:rPr>
              <w:b/>
              <w:color w:val="FF0000"/>
              <w:szCs w:val="16"/>
            </w:rPr>
            <w:t xml:space="preserve"> </w:t>
          </w:r>
        </w:p>
      </w:tc>
    </w:tr>
    <w:bookmarkEnd w:id="44"/>
    <w:tr w:rsidR="005E53B6" w:rsidRPr="00EA4725" w:rsidTr="005E53B6">
      <w:trPr>
        <w:trHeight w:val="213"/>
        <w:jc w:val="center"/>
      </w:trPr>
      <w:tc>
        <w:tcPr>
          <w:tcW w:w="3794" w:type="dxa"/>
          <w:vMerge w:val="restart"/>
          <w:shd w:val="clear" w:color="auto" w:fill="FFFFFF"/>
          <w:tcMar>
            <w:left w:w="0" w:type="dxa"/>
            <w:right w:w="0" w:type="dxa"/>
          </w:tcMar>
        </w:tcPr>
        <w:p w:rsidR="005E53B6" w:rsidRPr="00EA4725" w:rsidRDefault="0043683F" w:rsidP="005E53B6">
          <w:pPr>
            <w:jc w:val="left"/>
          </w:pPr>
          <w:r>
            <w:rPr>
              <w:noProof/>
              <w:lang w:eastAsia="en-GB"/>
            </w:rPr>
            <w:drawing>
              <wp:inline distT="0" distB="0" distL="0" distR="0" wp14:anchorId="6B23FBAB" wp14:editId="5E7AC8A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5E53B6" w:rsidRPr="00EA4725" w:rsidRDefault="005E53B6" w:rsidP="005E53B6">
          <w:pPr>
            <w:jc w:val="right"/>
            <w:rPr>
              <w:b/>
              <w:szCs w:val="16"/>
            </w:rPr>
          </w:pPr>
        </w:p>
      </w:tc>
    </w:tr>
    <w:tr w:rsidR="005E53B6" w:rsidRPr="00EA4725" w:rsidTr="005E53B6">
      <w:trPr>
        <w:trHeight w:val="868"/>
        <w:jc w:val="center"/>
      </w:trPr>
      <w:tc>
        <w:tcPr>
          <w:tcW w:w="3794" w:type="dxa"/>
          <w:vMerge/>
          <w:shd w:val="clear" w:color="auto" w:fill="FFFFFF"/>
          <w:tcMar>
            <w:left w:w="108" w:type="dxa"/>
            <w:right w:w="108" w:type="dxa"/>
          </w:tcMar>
        </w:tcPr>
        <w:p w:rsidR="005E53B6" w:rsidRPr="00EA4725" w:rsidRDefault="005E53B6" w:rsidP="005E53B6">
          <w:pPr>
            <w:jc w:val="left"/>
            <w:rPr>
              <w:noProof/>
              <w:lang w:eastAsia="en-GB"/>
            </w:rPr>
          </w:pPr>
        </w:p>
      </w:tc>
      <w:tc>
        <w:tcPr>
          <w:tcW w:w="5448" w:type="dxa"/>
          <w:gridSpan w:val="2"/>
          <w:shd w:val="clear" w:color="auto" w:fill="FFFFFF"/>
          <w:tcMar>
            <w:left w:w="108" w:type="dxa"/>
            <w:right w:w="108" w:type="dxa"/>
          </w:tcMar>
        </w:tcPr>
        <w:p w:rsidR="0077556D" w:rsidRDefault="0077556D" w:rsidP="005E53B6">
          <w:pPr>
            <w:jc w:val="right"/>
            <w:rPr>
              <w:b/>
              <w:szCs w:val="16"/>
            </w:rPr>
          </w:pPr>
          <w:bookmarkStart w:id="45" w:name="bmkSymbols"/>
          <w:r>
            <w:rPr>
              <w:b/>
              <w:szCs w:val="16"/>
            </w:rPr>
            <w:t>G/SPS/N/SGP/59</w:t>
          </w:r>
        </w:p>
        <w:bookmarkEnd w:id="45"/>
        <w:p w:rsidR="005E53B6" w:rsidRPr="00EA4725" w:rsidRDefault="005E53B6" w:rsidP="005E53B6">
          <w:pPr>
            <w:jc w:val="right"/>
            <w:rPr>
              <w:b/>
              <w:szCs w:val="16"/>
            </w:rPr>
          </w:pPr>
        </w:p>
      </w:tc>
    </w:tr>
    <w:tr w:rsidR="005E53B6" w:rsidRPr="00EA4725" w:rsidTr="005E53B6">
      <w:trPr>
        <w:trHeight w:val="240"/>
        <w:jc w:val="center"/>
      </w:trPr>
      <w:tc>
        <w:tcPr>
          <w:tcW w:w="3794" w:type="dxa"/>
          <w:vMerge/>
          <w:shd w:val="clear" w:color="auto" w:fill="FFFFFF"/>
          <w:tcMar>
            <w:left w:w="108" w:type="dxa"/>
            <w:right w:w="108" w:type="dxa"/>
          </w:tcMar>
          <w:vAlign w:val="center"/>
        </w:tcPr>
        <w:p w:rsidR="005E53B6" w:rsidRPr="00EA4725" w:rsidRDefault="005E53B6" w:rsidP="005E53B6"/>
      </w:tc>
      <w:tc>
        <w:tcPr>
          <w:tcW w:w="5448" w:type="dxa"/>
          <w:gridSpan w:val="2"/>
          <w:shd w:val="clear" w:color="auto" w:fill="FFFFFF"/>
          <w:tcMar>
            <w:left w:w="108" w:type="dxa"/>
            <w:right w:w="108" w:type="dxa"/>
          </w:tcMar>
          <w:vAlign w:val="center"/>
        </w:tcPr>
        <w:p w:rsidR="005E53B6" w:rsidRPr="00EA4725" w:rsidRDefault="007847AD" w:rsidP="005E53B6">
          <w:pPr>
            <w:jc w:val="right"/>
            <w:rPr>
              <w:szCs w:val="16"/>
            </w:rPr>
          </w:pPr>
          <w:bookmarkStart w:id="46" w:name="spsDateDistribution"/>
          <w:bookmarkStart w:id="47" w:name="bmkDate"/>
          <w:bookmarkEnd w:id="46"/>
          <w:r>
            <w:rPr>
              <w:szCs w:val="16"/>
            </w:rPr>
            <w:t>4</w:t>
          </w:r>
          <w:r w:rsidR="005E53B6" w:rsidRPr="00EA4725">
            <w:rPr>
              <w:szCs w:val="16"/>
            </w:rPr>
            <w:t xml:space="preserve"> September 2017</w:t>
          </w:r>
          <w:bookmarkEnd w:id="47"/>
        </w:p>
      </w:tc>
    </w:tr>
    <w:tr w:rsidR="005E53B6" w:rsidRPr="00EA4725" w:rsidTr="005E53B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5E53B6" w:rsidRPr="00EA4725" w:rsidRDefault="005E53B6" w:rsidP="005E53B6">
          <w:pPr>
            <w:jc w:val="left"/>
            <w:rPr>
              <w:b/>
            </w:rPr>
          </w:pPr>
          <w:bookmarkStart w:id="48" w:name="bmkSerial"/>
          <w:r w:rsidRPr="00EA4725">
            <w:rPr>
              <w:color w:val="FF0000"/>
              <w:szCs w:val="16"/>
            </w:rPr>
            <w:t>(</w:t>
          </w:r>
          <w:bookmarkStart w:id="49" w:name="spsSerialNumber"/>
          <w:bookmarkEnd w:id="49"/>
          <w:r w:rsidR="00872FAF">
            <w:rPr>
              <w:color w:val="FF0000"/>
              <w:szCs w:val="16"/>
            </w:rPr>
            <w:t>17-</w:t>
          </w:r>
          <w:r w:rsidR="00F445D6">
            <w:rPr>
              <w:color w:val="FF0000"/>
              <w:szCs w:val="16"/>
            </w:rPr>
            <w:t>4697</w:t>
          </w:r>
          <w:bookmarkStart w:id="50" w:name="_GoBack"/>
          <w:bookmarkEnd w:id="50"/>
          <w:r w:rsidRPr="00EA4725">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5E53B6" w:rsidRPr="00EA4725" w:rsidRDefault="005E53B6" w:rsidP="005E53B6">
          <w:pPr>
            <w:jc w:val="right"/>
            <w:rPr>
              <w:szCs w:val="16"/>
            </w:rPr>
          </w:pPr>
          <w:bookmarkStart w:id="51"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sidR="00F6572A">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sidR="00F6572A">
            <w:rPr>
              <w:bCs/>
              <w:noProof/>
              <w:szCs w:val="16"/>
            </w:rPr>
            <w:t>3</w:t>
          </w:r>
          <w:r w:rsidRPr="00EA4725">
            <w:rPr>
              <w:bCs/>
              <w:szCs w:val="16"/>
            </w:rPr>
            <w:fldChar w:fldCharType="end"/>
          </w:r>
          <w:bookmarkEnd w:id="51"/>
        </w:p>
      </w:tc>
    </w:tr>
    <w:tr w:rsidR="005E53B6" w:rsidRPr="00EA4725" w:rsidTr="005E53B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5E53B6" w:rsidRPr="00EA4725" w:rsidRDefault="0077556D" w:rsidP="005E53B6">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5E53B6" w:rsidRPr="00EA4725" w:rsidRDefault="0077556D" w:rsidP="005E53B6">
          <w:pPr>
            <w:jc w:val="right"/>
            <w:rPr>
              <w:bCs/>
              <w:szCs w:val="18"/>
            </w:rPr>
          </w:pPr>
          <w:bookmarkStart w:id="53" w:name="bmkLanguage"/>
          <w:r>
            <w:rPr>
              <w:bCs/>
              <w:szCs w:val="18"/>
            </w:rPr>
            <w:t>Original: English</w:t>
          </w:r>
          <w:bookmarkEnd w:id="53"/>
        </w:p>
      </w:tc>
    </w:tr>
  </w:tbl>
  <w:p w:rsidR="005E53B6" w:rsidRDefault="005E5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7A601F8"/>
    <w:multiLevelType w:val="hybridMultilevel"/>
    <w:tmpl w:val="BDB8CBE0"/>
    <w:lvl w:ilvl="0" w:tplc="AA6ED9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218F9"/>
    <w:multiLevelType w:val="hybridMultilevel"/>
    <w:tmpl w:val="20B8A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77356E"/>
    <w:multiLevelType w:val="hybridMultilevel"/>
    <w:tmpl w:val="04381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526BA"/>
    <w:multiLevelType w:val="hybridMultilevel"/>
    <w:tmpl w:val="5CB60482"/>
    <w:lvl w:ilvl="0" w:tplc="0F604B38">
      <w:start w:val="1"/>
      <w:numFmt w:val="decimal"/>
      <w:pStyle w:val="SummaryText"/>
      <w:lvlText w:val="%1."/>
      <w:lvlJc w:val="left"/>
      <w:pPr>
        <w:ind w:left="360" w:hanging="360"/>
      </w:pPr>
    </w:lvl>
    <w:lvl w:ilvl="1" w:tplc="3B9E9380" w:tentative="1">
      <w:start w:val="1"/>
      <w:numFmt w:val="lowerLetter"/>
      <w:lvlText w:val="%2."/>
      <w:lvlJc w:val="left"/>
      <w:pPr>
        <w:ind w:left="1080" w:hanging="360"/>
      </w:pPr>
    </w:lvl>
    <w:lvl w:ilvl="2" w:tplc="087A6D20" w:tentative="1">
      <w:start w:val="1"/>
      <w:numFmt w:val="lowerRoman"/>
      <w:lvlText w:val="%3."/>
      <w:lvlJc w:val="right"/>
      <w:pPr>
        <w:ind w:left="1800" w:hanging="180"/>
      </w:pPr>
    </w:lvl>
    <w:lvl w:ilvl="3" w:tplc="D4C2AEA6" w:tentative="1">
      <w:start w:val="1"/>
      <w:numFmt w:val="decimal"/>
      <w:lvlText w:val="%4."/>
      <w:lvlJc w:val="left"/>
      <w:pPr>
        <w:ind w:left="2520" w:hanging="360"/>
      </w:pPr>
    </w:lvl>
    <w:lvl w:ilvl="4" w:tplc="83245F3C" w:tentative="1">
      <w:start w:val="1"/>
      <w:numFmt w:val="lowerLetter"/>
      <w:lvlText w:val="%5."/>
      <w:lvlJc w:val="left"/>
      <w:pPr>
        <w:ind w:left="3240" w:hanging="360"/>
      </w:pPr>
    </w:lvl>
    <w:lvl w:ilvl="5" w:tplc="059ED356" w:tentative="1">
      <w:start w:val="1"/>
      <w:numFmt w:val="lowerRoman"/>
      <w:lvlText w:val="%6."/>
      <w:lvlJc w:val="right"/>
      <w:pPr>
        <w:ind w:left="3960" w:hanging="180"/>
      </w:pPr>
    </w:lvl>
    <w:lvl w:ilvl="6" w:tplc="2354D0EA" w:tentative="1">
      <w:start w:val="1"/>
      <w:numFmt w:val="decimal"/>
      <w:lvlText w:val="%7."/>
      <w:lvlJc w:val="left"/>
      <w:pPr>
        <w:ind w:left="4680" w:hanging="360"/>
      </w:pPr>
    </w:lvl>
    <w:lvl w:ilvl="7" w:tplc="1890B3B8" w:tentative="1">
      <w:start w:val="1"/>
      <w:numFmt w:val="lowerLetter"/>
      <w:lvlText w:val="%8."/>
      <w:lvlJc w:val="left"/>
      <w:pPr>
        <w:ind w:left="5400" w:hanging="360"/>
      </w:pPr>
    </w:lvl>
    <w:lvl w:ilvl="8" w:tplc="2F10F9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E9"/>
    <w:rsid w:val="00077377"/>
    <w:rsid w:val="000A11E9"/>
    <w:rsid w:val="001B0908"/>
    <w:rsid w:val="001B6013"/>
    <w:rsid w:val="0025680C"/>
    <w:rsid w:val="00300CB5"/>
    <w:rsid w:val="00383C87"/>
    <w:rsid w:val="003A34B3"/>
    <w:rsid w:val="0043683F"/>
    <w:rsid w:val="00540570"/>
    <w:rsid w:val="00570A86"/>
    <w:rsid w:val="005E1ECC"/>
    <w:rsid w:val="005E53B6"/>
    <w:rsid w:val="005E5F2B"/>
    <w:rsid w:val="005F4A9B"/>
    <w:rsid w:val="00630E34"/>
    <w:rsid w:val="006743EA"/>
    <w:rsid w:val="006B3983"/>
    <w:rsid w:val="00770527"/>
    <w:rsid w:val="0077556D"/>
    <w:rsid w:val="007847AD"/>
    <w:rsid w:val="00831EA9"/>
    <w:rsid w:val="00837266"/>
    <w:rsid w:val="0084140D"/>
    <w:rsid w:val="0084541C"/>
    <w:rsid w:val="00872FAF"/>
    <w:rsid w:val="00896701"/>
    <w:rsid w:val="008F10FA"/>
    <w:rsid w:val="00B371D5"/>
    <w:rsid w:val="00C95C64"/>
    <w:rsid w:val="00C96DB7"/>
    <w:rsid w:val="00D042ED"/>
    <w:rsid w:val="00E465CE"/>
    <w:rsid w:val="00E66E9D"/>
    <w:rsid w:val="00F32DFC"/>
    <w:rsid w:val="00F445D6"/>
    <w:rsid w:val="00F4510C"/>
    <w:rsid w:val="00F6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39"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49" w:unhideWhenUsed="1"/>
    <w:lsdException w:name="TOC Heading" w:semiHidden="0" w:uiPriority="39" w:qFormat="1"/>
  </w:latentStyles>
  <w:style w:type="paragraph" w:default="1" w:styleId="Normal">
    <w:name w:val="Normal"/>
    <w:qFormat/>
    <w:rsid w:val="00B52738"/>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qFormat/>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qFormat/>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qFormat/>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rsid w:val="00DF6AE1"/>
    <w:pPr>
      <w:spacing w:after="240"/>
      <w:ind w:left="567" w:right="567"/>
    </w:pPr>
    <w:rPr>
      <w:szCs w:val="18"/>
      <w:lang w:eastAsia="en-GB"/>
    </w:rPr>
  </w:style>
  <w:style w:type="paragraph" w:customStyle="1" w:styleId="QuotationDouble">
    <w:name w:val="Quotation Double"/>
    <w:basedOn w:val="Normal"/>
    <w:uiPriority w:val="5"/>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V w:val="single" w:sz="4" w:space="0" w:color="auto"/>
        </w:tcBorders>
      </w:tcPr>
    </w:tblStylePr>
    <w:tblStylePr w:type="lastRow">
      <w:tblPr/>
      <w:tcPr>
        <w:tcBorders>
          <w:left w:val="double" w:sz="6" w:space="0" w:color="auto"/>
          <w:bottom w:val="double" w:sz="6" w:space="0" w:color="auto"/>
          <w:right w:val="double" w:sz="6" w:space="0" w:color="auto"/>
          <w:insideV w:val="single" w:sz="4" w:space="0" w:color="auto"/>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B52738"/>
    <w:rPr>
      <w:color w:val="0000FF"/>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link w:val="BodyTextIndent3"/>
    <w:uiPriority w:val="99"/>
    <w:semiHidden/>
    <w:rsid w:val="00547B5F"/>
    <w:rPr>
      <w:rFonts w:ascii="Verdana" w:hAnsi="Verdana"/>
      <w:sz w:val="16"/>
      <w:szCs w:val="16"/>
    </w:rPr>
  </w:style>
  <w:style w:type="character" w:styleId="BookTitle">
    <w:name w:val="Book Title"/>
    <w:uiPriority w:val="99"/>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link w:val="Closing"/>
    <w:uiPriority w:val="99"/>
    <w:semiHidden/>
    <w:rsid w:val="00547B5F"/>
    <w:rPr>
      <w:rFonts w:ascii="Verdana" w:hAnsi="Verdana"/>
      <w:sz w:val="18"/>
    </w:rPr>
  </w:style>
  <w:style w:type="character" w:styleId="CommentReference">
    <w:name w:val="annotation reference"/>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link w:val="E-mailSignature"/>
    <w:uiPriority w:val="99"/>
    <w:semiHidden/>
    <w:rsid w:val="00547B5F"/>
    <w:rPr>
      <w:rFonts w:ascii="Verdana" w:hAnsi="Verdana"/>
      <w:sz w:val="18"/>
    </w:rPr>
  </w:style>
  <w:style w:type="character" w:styleId="Emphasis">
    <w:name w:val="Emphasis"/>
    <w:uiPriority w:val="99"/>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47B5F"/>
    <w:rPr>
      <w:rFonts w:ascii="Cambria" w:eastAsia="Times New Roman" w:hAnsi="Cambria"/>
      <w:sz w:val="20"/>
      <w:szCs w:val="20"/>
    </w:rPr>
  </w:style>
  <w:style w:type="character" w:styleId="FollowedHyperlink">
    <w:name w:val="FollowedHyperlink"/>
    <w:uiPriority w:val="9"/>
    <w:unhideWhenUsed/>
    <w:rsid w:val="00547B5F"/>
    <w:rPr>
      <w:color w:val="800080"/>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link w:val="HTMLAddress"/>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Code">
    <w:name w:val="HTML Code"/>
    <w:uiPriority w:val="99"/>
    <w:semiHidden/>
    <w:unhideWhenUsed/>
    <w:rsid w:val="00547B5F"/>
    <w:rPr>
      <w:rFonts w:ascii="Consolas" w:hAnsi="Consolas" w:cs="Consolas"/>
      <w:sz w:val="20"/>
      <w:szCs w:val="20"/>
    </w:rPr>
  </w:style>
  <w:style w:type="character" w:styleId="HTMLDefinition">
    <w:name w:val="HTML Definition"/>
    <w:uiPriority w:val="99"/>
    <w:semiHidden/>
    <w:unhideWhenUsed/>
    <w:rsid w:val="00547B5F"/>
    <w:rPr>
      <w:i/>
      <w:iCs/>
    </w:rPr>
  </w:style>
  <w:style w:type="character" w:styleId="HTMLKeyboard">
    <w:name w:val="HTML Keyboard"/>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link w:val="HTMLPreformatted"/>
    <w:uiPriority w:val="99"/>
    <w:semiHidden/>
    <w:rsid w:val="00547B5F"/>
    <w:rPr>
      <w:rFonts w:ascii="Consolas" w:hAnsi="Consolas" w:cs="Consolas"/>
      <w:sz w:val="20"/>
      <w:szCs w:val="20"/>
    </w:rPr>
  </w:style>
  <w:style w:type="character" w:styleId="HTMLSample">
    <w:name w:val="HTML Sample"/>
    <w:uiPriority w:val="99"/>
    <w:semiHidden/>
    <w:unhideWhenUsed/>
    <w:rsid w:val="00547B5F"/>
    <w:rPr>
      <w:rFonts w:ascii="Consolas" w:hAnsi="Consolas" w:cs="Consolas"/>
      <w:sz w:val="24"/>
      <w:szCs w:val="24"/>
    </w:rPr>
  </w:style>
  <w:style w:type="character" w:styleId="HTMLTypewriter">
    <w:name w:val="HTML Typewriter"/>
    <w:uiPriority w:val="99"/>
    <w:semiHidden/>
    <w:unhideWhenUsed/>
    <w:rsid w:val="00547B5F"/>
    <w:rPr>
      <w:rFonts w:ascii="Consolas" w:hAnsi="Consolas" w:cs="Consolas"/>
      <w:sz w:val="20"/>
      <w:szCs w:val="20"/>
    </w:rPr>
  </w:style>
  <w:style w:type="character" w:styleId="HTMLVariable">
    <w:name w:val="HTML Variable"/>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Cambria" w:eastAsia="Times New Roman" w:hAnsi="Cambria"/>
      <w:b/>
      <w:bCs/>
    </w:rPr>
  </w:style>
  <w:style w:type="character" w:styleId="IntenseEmphasis">
    <w:name w:val="Intense Emphasis"/>
    <w:uiPriority w:val="99"/>
    <w:qFormat/>
    <w:rsid w:val="00547B5F"/>
    <w:rPr>
      <w:b/>
      <w:bCs/>
      <w:i/>
      <w:iCs/>
      <w:color w:val="4F81BD"/>
    </w:rPr>
  </w:style>
  <w:style w:type="paragraph" w:styleId="IntenseQuote">
    <w:name w:val="Intense Quote"/>
    <w:basedOn w:val="Normal"/>
    <w:next w:val="Normal"/>
    <w:link w:val="IntenseQuoteChar"/>
    <w:uiPriority w:val="59"/>
    <w:qFormat/>
    <w:rsid w:val="00547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547B5F"/>
    <w:rPr>
      <w:rFonts w:ascii="Verdana" w:hAnsi="Verdana"/>
      <w:b/>
      <w:bCs/>
      <w:i/>
      <w:iCs/>
      <w:color w:val="4F81BD"/>
      <w:sz w:val="18"/>
    </w:rPr>
  </w:style>
  <w:style w:type="character" w:styleId="IntenseReference">
    <w:name w:val="Intense Reference"/>
    <w:uiPriority w:val="99"/>
    <w:qFormat/>
    <w:rsid w:val="00547B5F"/>
    <w:rPr>
      <w:b/>
      <w:bCs/>
      <w:smallCaps/>
      <w:color w:val="C0504D"/>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47B5F"/>
    <w:rPr>
      <w:rFonts w:ascii="Cambria" w:eastAsia="Times New Roman" w:hAnsi="Cambria" w:cs="Times New Roman"/>
      <w:sz w:val="24"/>
      <w:szCs w:val="24"/>
      <w:shd w:val="pct20" w:color="auto" w:fill="auto"/>
    </w:rPr>
  </w:style>
  <w:style w:type="paragraph" w:styleId="NoSpacing">
    <w:name w:val="No Spacing"/>
    <w:uiPriority w:val="1"/>
    <w:qFormat/>
    <w:rsid w:val="00547B5F"/>
    <w:pPr>
      <w:jc w:val="both"/>
    </w:pPr>
    <w:rPr>
      <w:rFonts w:ascii="Verdana" w:hAnsi="Verdana"/>
      <w:sz w:val="18"/>
      <w:szCs w:val="22"/>
      <w:lang w:val="en-GB"/>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qFormat/>
    <w:rsid w:val="00547B5F"/>
    <w:rPr>
      <w:i/>
      <w:iCs/>
      <w:color w:val="000000"/>
    </w:rPr>
  </w:style>
  <w:style w:type="character" w:customStyle="1" w:styleId="QuoteChar">
    <w:name w:val="Quote Char"/>
    <w:link w:val="Quote"/>
    <w:uiPriority w:val="99"/>
    <w:semiHidden/>
    <w:rsid w:val="00547B5F"/>
    <w:rPr>
      <w:rFonts w:ascii="Verdana" w:hAnsi="Verdana"/>
      <w:i/>
      <w:iCs/>
      <w:color w:val="000000"/>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link w:val="Signature"/>
    <w:uiPriority w:val="99"/>
    <w:semiHidden/>
    <w:rsid w:val="00547B5F"/>
    <w:rPr>
      <w:rFonts w:ascii="Verdana" w:hAnsi="Verdana"/>
      <w:sz w:val="18"/>
    </w:rPr>
  </w:style>
  <w:style w:type="character" w:styleId="Strong">
    <w:name w:val="Strong"/>
    <w:uiPriority w:val="99"/>
    <w:qFormat/>
    <w:rsid w:val="00547B5F"/>
    <w:rPr>
      <w:b/>
      <w:bCs/>
    </w:rPr>
  </w:style>
  <w:style w:type="character" w:styleId="SubtleEmphasis">
    <w:name w:val="Subtle Emphasis"/>
    <w:uiPriority w:val="99"/>
    <w:qFormat/>
    <w:rsid w:val="00547B5F"/>
    <w:rPr>
      <w:i/>
      <w:iCs/>
      <w:color w:val="808080"/>
    </w:rPr>
  </w:style>
  <w:style w:type="character" w:styleId="SubtleReference">
    <w:name w:val="Subtle Reference"/>
    <w:uiPriority w:val="99"/>
    <w:qFormat/>
    <w:rsid w:val="00547B5F"/>
    <w:rPr>
      <w:smallCaps/>
      <w:color w:val="C0504D"/>
      <w:u w:val="single"/>
    </w:rPr>
  </w:style>
  <w:style w:type="paragraph" w:styleId="TOAHeading">
    <w:name w:val="toa heading"/>
    <w:basedOn w:val="Normal"/>
    <w:next w:val="Normal"/>
    <w:uiPriority w:val="39"/>
    <w:unhideWhenUsed/>
    <w:rsid w:val="00547B5F"/>
    <w:pPr>
      <w:spacing w:before="120"/>
    </w:pPr>
    <w:rPr>
      <w:rFonts w:ascii="Cambria" w:eastAsia="Times New Roman" w:hAnsi="Cambria"/>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39"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49" w:unhideWhenUsed="1"/>
    <w:lsdException w:name="TOC Heading" w:semiHidden="0" w:uiPriority="39" w:qFormat="1"/>
  </w:latentStyles>
  <w:style w:type="paragraph" w:default="1" w:styleId="Normal">
    <w:name w:val="Normal"/>
    <w:qFormat/>
    <w:rsid w:val="00B52738"/>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qFormat/>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qFormat/>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qFormat/>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rsid w:val="00DF6AE1"/>
    <w:pPr>
      <w:spacing w:after="240"/>
      <w:ind w:left="567" w:right="567"/>
    </w:pPr>
    <w:rPr>
      <w:szCs w:val="18"/>
      <w:lang w:eastAsia="en-GB"/>
    </w:rPr>
  </w:style>
  <w:style w:type="paragraph" w:customStyle="1" w:styleId="QuotationDouble">
    <w:name w:val="Quotation Double"/>
    <w:basedOn w:val="Normal"/>
    <w:uiPriority w:val="5"/>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V w:val="single" w:sz="4" w:space="0" w:color="auto"/>
        </w:tcBorders>
      </w:tcPr>
    </w:tblStylePr>
    <w:tblStylePr w:type="lastRow">
      <w:tblPr/>
      <w:tcPr>
        <w:tcBorders>
          <w:left w:val="double" w:sz="6" w:space="0" w:color="auto"/>
          <w:bottom w:val="double" w:sz="6" w:space="0" w:color="auto"/>
          <w:right w:val="double" w:sz="6" w:space="0" w:color="auto"/>
          <w:insideV w:val="single" w:sz="4" w:space="0" w:color="auto"/>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iPriority w:val="9"/>
    <w:unhideWhenUsed/>
    <w:rsid w:val="00B52738"/>
    <w:rPr>
      <w:color w:val="0000FF"/>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link w:val="BodyTextIndent3"/>
    <w:uiPriority w:val="99"/>
    <w:semiHidden/>
    <w:rsid w:val="00547B5F"/>
    <w:rPr>
      <w:rFonts w:ascii="Verdana" w:hAnsi="Verdana"/>
      <w:sz w:val="16"/>
      <w:szCs w:val="16"/>
    </w:rPr>
  </w:style>
  <w:style w:type="character" w:styleId="BookTitle">
    <w:name w:val="Book Title"/>
    <w:uiPriority w:val="99"/>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link w:val="Closing"/>
    <w:uiPriority w:val="99"/>
    <w:semiHidden/>
    <w:rsid w:val="00547B5F"/>
    <w:rPr>
      <w:rFonts w:ascii="Verdana" w:hAnsi="Verdana"/>
      <w:sz w:val="18"/>
    </w:rPr>
  </w:style>
  <w:style w:type="character" w:styleId="CommentReference">
    <w:name w:val="annotation reference"/>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link w:val="E-mailSignature"/>
    <w:uiPriority w:val="99"/>
    <w:semiHidden/>
    <w:rsid w:val="00547B5F"/>
    <w:rPr>
      <w:rFonts w:ascii="Verdana" w:hAnsi="Verdana"/>
      <w:sz w:val="18"/>
    </w:rPr>
  </w:style>
  <w:style w:type="character" w:styleId="Emphasis">
    <w:name w:val="Emphasis"/>
    <w:uiPriority w:val="99"/>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47B5F"/>
    <w:rPr>
      <w:rFonts w:ascii="Cambria" w:eastAsia="Times New Roman" w:hAnsi="Cambria"/>
      <w:sz w:val="20"/>
      <w:szCs w:val="20"/>
    </w:rPr>
  </w:style>
  <w:style w:type="character" w:styleId="FollowedHyperlink">
    <w:name w:val="FollowedHyperlink"/>
    <w:uiPriority w:val="9"/>
    <w:unhideWhenUsed/>
    <w:rsid w:val="00547B5F"/>
    <w:rPr>
      <w:color w:val="800080"/>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link w:val="HTMLAddress"/>
    <w:uiPriority w:val="99"/>
    <w:semiHidden/>
    <w:rsid w:val="00547B5F"/>
    <w:rPr>
      <w:rFonts w:ascii="Verdana" w:hAnsi="Verdana"/>
      <w:i/>
      <w:iCs/>
      <w:sz w:val="18"/>
    </w:rPr>
  </w:style>
  <w:style w:type="character" w:styleId="HTMLCite">
    <w:name w:val="HTML Cite"/>
    <w:uiPriority w:val="99"/>
    <w:semiHidden/>
    <w:unhideWhenUsed/>
    <w:rsid w:val="00547B5F"/>
    <w:rPr>
      <w:i/>
      <w:iCs/>
    </w:rPr>
  </w:style>
  <w:style w:type="character" w:styleId="HTMLCode">
    <w:name w:val="HTML Code"/>
    <w:uiPriority w:val="99"/>
    <w:semiHidden/>
    <w:unhideWhenUsed/>
    <w:rsid w:val="00547B5F"/>
    <w:rPr>
      <w:rFonts w:ascii="Consolas" w:hAnsi="Consolas" w:cs="Consolas"/>
      <w:sz w:val="20"/>
      <w:szCs w:val="20"/>
    </w:rPr>
  </w:style>
  <w:style w:type="character" w:styleId="HTMLDefinition">
    <w:name w:val="HTML Definition"/>
    <w:uiPriority w:val="99"/>
    <w:semiHidden/>
    <w:unhideWhenUsed/>
    <w:rsid w:val="00547B5F"/>
    <w:rPr>
      <w:i/>
      <w:iCs/>
    </w:rPr>
  </w:style>
  <w:style w:type="character" w:styleId="HTMLKeyboard">
    <w:name w:val="HTML Keyboard"/>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link w:val="HTMLPreformatted"/>
    <w:uiPriority w:val="99"/>
    <w:semiHidden/>
    <w:rsid w:val="00547B5F"/>
    <w:rPr>
      <w:rFonts w:ascii="Consolas" w:hAnsi="Consolas" w:cs="Consolas"/>
      <w:sz w:val="20"/>
      <w:szCs w:val="20"/>
    </w:rPr>
  </w:style>
  <w:style w:type="character" w:styleId="HTMLSample">
    <w:name w:val="HTML Sample"/>
    <w:uiPriority w:val="99"/>
    <w:semiHidden/>
    <w:unhideWhenUsed/>
    <w:rsid w:val="00547B5F"/>
    <w:rPr>
      <w:rFonts w:ascii="Consolas" w:hAnsi="Consolas" w:cs="Consolas"/>
      <w:sz w:val="24"/>
      <w:szCs w:val="24"/>
    </w:rPr>
  </w:style>
  <w:style w:type="character" w:styleId="HTMLTypewriter">
    <w:name w:val="HTML Typewriter"/>
    <w:uiPriority w:val="99"/>
    <w:semiHidden/>
    <w:unhideWhenUsed/>
    <w:rsid w:val="00547B5F"/>
    <w:rPr>
      <w:rFonts w:ascii="Consolas" w:hAnsi="Consolas" w:cs="Consolas"/>
      <w:sz w:val="20"/>
      <w:szCs w:val="20"/>
    </w:rPr>
  </w:style>
  <w:style w:type="character" w:styleId="HTMLVariable">
    <w:name w:val="HTML Variable"/>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Cambria" w:eastAsia="Times New Roman" w:hAnsi="Cambria"/>
      <w:b/>
      <w:bCs/>
    </w:rPr>
  </w:style>
  <w:style w:type="character" w:styleId="IntenseEmphasis">
    <w:name w:val="Intense Emphasis"/>
    <w:uiPriority w:val="99"/>
    <w:qFormat/>
    <w:rsid w:val="00547B5F"/>
    <w:rPr>
      <w:b/>
      <w:bCs/>
      <w:i/>
      <w:iCs/>
      <w:color w:val="4F81BD"/>
    </w:rPr>
  </w:style>
  <w:style w:type="paragraph" w:styleId="IntenseQuote">
    <w:name w:val="Intense Quote"/>
    <w:basedOn w:val="Normal"/>
    <w:next w:val="Normal"/>
    <w:link w:val="IntenseQuoteChar"/>
    <w:uiPriority w:val="59"/>
    <w:qFormat/>
    <w:rsid w:val="00547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547B5F"/>
    <w:rPr>
      <w:rFonts w:ascii="Verdana" w:hAnsi="Verdana"/>
      <w:b/>
      <w:bCs/>
      <w:i/>
      <w:iCs/>
      <w:color w:val="4F81BD"/>
      <w:sz w:val="18"/>
    </w:rPr>
  </w:style>
  <w:style w:type="character" w:styleId="IntenseReference">
    <w:name w:val="Intense Reference"/>
    <w:uiPriority w:val="99"/>
    <w:qFormat/>
    <w:rsid w:val="00547B5F"/>
    <w:rPr>
      <w:b/>
      <w:bCs/>
      <w:smallCaps/>
      <w:color w:val="C0504D"/>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47B5F"/>
    <w:rPr>
      <w:rFonts w:ascii="Cambria" w:eastAsia="Times New Roman" w:hAnsi="Cambria" w:cs="Times New Roman"/>
      <w:sz w:val="24"/>
      <w:szCs w:val="24"/>
      <w:shd w:val="pct20" w:color="auto" w:fill="auto"/>
    </w:rPr>
  </w:style>
  <w:style w:type="paragraph" w:styleId="NoSpacing">
    <w:name w:val="No Spacing"/>
    <w:uiPriority w:val="1"/>
    <w:qFormat/>
    <w:rsid w:val="00547B5F"/>
    <w:pPr>
      <w:jc w:val="both"/>
    </w:pPr>
    <w:rPr>
      <w:rFonts w:ascii="Verdana" w:hAnsi="Verdana"/>
      <w:sz w:val="18"/>
      <w:szCs w:val="22"/>
      <w:lang w:val="en-GB"/>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qFormat/>
    <w:rsid w:val="00547B5F"/>
    <w:rPr>
      <w:i/>
      <w:iCs/>
      <w:color w:val="000000"/>
    </w:rPr>
  </w:style>
  <w:style w:type="character" w:customStyle="1" w:styleId="QuoteChar">
    <w:name w:val="Quote Char"/>
    <w:link w:val="Quote"/>
    <w:uiPriority w:val="99"/>
    <w:semiHidden/>
    <w:rsid w:val="00547B5F"/>
    <w:rPr>
      <w:rFonts w:ascii="Verdana" w:hAnsi="Verdana"/>
      <w:i/>
      <w:iCs/>
      <w:color w:val="000000"/>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link w:val="Signature"/>
    <w:uiPriority w:val="99"/>
    <w:semiHidden/>
    <w:rsid w:val="00547B5F"/>
    <w:rPr>
      <w:rFonts w:ascii="Verdana" w:hAnsi="Verdana"/>
      <w:sz w:val="18"/>
    </w:rPr>
  </w:style>
  <w:style w:type="character" w:styleId="Strong">
    <w:name w:val="Strong"/>
    <w:uiPriority w:val="99"/>
    <w:qFormat/>
    <w:rsid w:val="00547B5F"/>
    <w:rPr>
      <w:b/>
      <w:bCs/>
    </w:rPr>
  </w:style>
  <w:style w:type="character" w:styleId="SubtleEmphasis">
    <w:name w:val="Subtle Emphasis"/>
    <w:uiPriority w:val="99"/>
    <w:qFormat/>
    <w:rsid w:val="00547B5F"/>
    <w:rPr>
      <w:i/>
      <w:iCs/>
      <w:color w:val="808080"/>
    </w:rPr>
  </w:style>
  <w:style w:type="character" w:styleId="SubtleReference">
    <w:name w:val="Subtle Reference"/>
    <w:uiPriority w:val="99"/>
    <w:qFormat/>
    <w:rsid w:val="00547B5F"/>
    <w:rPr>
      <w:smallCaps/>
      <w:color w:val="C0504D"/>
      <w:u w:val="single"/>
    </w:rPr>
  </w:style>
  <w:style w:type="paragraph" w:styleId="TOAHeading">
    <w:name w:val="toa heading"/>
    <w:basedOn w:val="Normal"/>
    <w:next w:val="Normal"/>
    <w:uiPriority w:val="39"/>
    <w:unhideWhenUsed/>
    <w:rsid w:val="00547B5F"/>
    <w:pPr>
      <w:spacing w:before="120"/>
    </w:pPr>
    <w:rPr>
      <w:rFonts w:ascii="Cambria" w:eastAsia="Times New Roman"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va.gov.sg/legislation"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va.gov.sg/legislation" TargetMode="External"/><Relationship Id="rId4" Type="http://schemas.openxmlformats.org/officeDocument/2006/relationships/settings" Target="settings.xml"/><Relationship Id="rId9" Type="http://schemas.openxmlformats.org/officeDocument/2006/relationships/hyperlink" Target="http://www.ava.gov.sg/legislatio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5837</Characters>
  <Application>Microsoft Office Word</Application>
  <DocSecurity>0</DocSecurity>
  <Lines>152</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6750</CharactersWithSpaces>
  <SharedDoc>false</SharedDoc>
  <HLinks>
    <vt:vector size="18" baseType="variant">
      <vt:variant>
        <vt:i4>1900638</vt:i4>
      </vt:variant>
      <vt:variant>
        <vt:i4>9</vt:i4>
      </vt:variant>
      <vt:variant>
        <vt:i4>0</vt:i4>
      </vt:variant>
      <vt:variant>
        <vt:i4>5</vt:i4>
      </vt:variant>
      <vt:variant>
        <vt:lpwstr>http://www.ava.gov.sg/legislation</vt:lpwstr>
      </vt:variant>
      <vt:variant>
        <vt:lpwstr/>
      </vt:variant>
      <vt:variant>
        <vt:i4>1900638</vt:i4>
      </vt:variant>
      <vt:variant>
        <vt:i4>6</vt:i4>
      </vt:variant>
      <vt:variant>
        <vt:i4>0</vt:i4>
      </vt:variant>
      <vt:variant>
        <vt:i4>5</vt:i4>
      </vt:variant>
      <vt:variant>
        <vt:lpwstr>http://www.ava.gov.sg/legislation</vt:lpwstr>
      </vt:variant>
      <vt:variant>
        <vt:lpwstr/>
      </vt:variant>
      <vt:variant>
        <vt:i4>1900638</vt:i4>
      </vt:variant>
      <vt:variant>
        <vt:i4>3</vt:i4>
      </vt:variant>
      <vt:variant>
        <vt:i4>0</vt:i4>
      </vt:variant>
      <vt:variant>
        <vt:i4>5</vt:i4>
      </vt:variant>
      <vt:variant>
        <vt:lpwstr>http://www.ava.gov.sg/legislation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1900-12-31T22:00:00Z</cp:lastPrinted>
  <dcterms:created xsi:type="dcterms:W3CDTF">2017-09-04T09:55:00Z</dcterms:created>
  <dcterms:modified xsi:type="dcterms:W3CDTF">2017-09-04T10:16:00Z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G/SPS/N/SGP/59</vt:lpwstr>
  </property>
</Properties>
</file>