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0013A2" w:rsidP="000013A2">
      <w:pPr>
        <w:pStyle w:val="Titre"/>
        <w:spacing w:before="360"/>
        <w:rPr>
          <w:caps w:val="0"/>
          <w:kern w:val="0"/>
        </w:rPr>
      </w:pPr>
      <w:r w:rsidRPr="00934B4C">
        <w:rPr>
          <w:caps w:val="0"/>
          <w:kern w:val="0"/>
        </w:rPr>
        <w:t>NOTIFICATION</w:t>
      </w:r>
    </w:p>
    <w:p w:rsidR="00AD0FDA" w:rsidRPr="00934B4C" w:rsidRDefault="000013A2" w:rsidP="00934B4C">
      <w:pPr>
        <w:pStyle w:val="Title3"/>
      </w:pPr>
      <w:r w:rsidRPr="00934B4C">
        <w:t>Addendum</w:t>
      </w:r>
    </w:p>
    <w:p w:rsidR="007141CF" w:rsidRPr="00934B4C" w:rsidRDefault="000013A2" w:rsidP="00934B4C">
      <w:pPr>
        <w:spacing w:after="120"/>
      </w:pPr>
      <w:r w:rsidRPr="00934B4C">
        <w:t xml:space="preserve">The following communication, received on </w:t>
      </w:r>
      <w:bookmarkStart w:id="0" w:name="spsDateReception"/>
      <w:r>
        <w:t>13 November 2018</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Singapore</w:t>
      </w:r>
      <w:bookmarkEnd w:id="3"/>
      <w:r w:rsidRPr="00934B4C">
        <w:t>.</w:t>
      </w:r>
    </w:p>
    <w:p w:rsidR="00AD0FDA" w:rsidRPr="00934B4C" w:rsidRDefault="00A2779F" w:rsidP="00934B4C"/>
    <w:p w:rsidR="00AD0FDA" w:rsidRPr="00934B4C" w:rsidRDefault="000013A2" w:rsidP="00934B4C">
      <w:pPr>
        <w:jc w:val="center"/>
        <w:rPr>
          <w:b/>
        </w:rPr>
      </w:pPr>
      <w:r w:rsidRPr="00934B4C">
        <w:rPr>
          <w:b/>
        </w:rPr>
        <w:t>_______________</w:t>
      </w:r>
    </w:p>
    <w:p w:rsidR="00AD0FDA" w:rsidRPr="00934B4C" w:rsidRDefault="00A2779F" w:rsidP="00934B4C"/>
    <w:p w:rsidR="00AD0FDA" w:rsidRPr="00934B4C" w:rsidRDefault="00A2779F" w:rsidP="00934B4C"/>
    <w:tbl>
      <w:tblPr>
        <w:tblW w:w="0" w:type="auto"/>
        <w:tblLayout w:type="fixed"/>
        <w:tblCellMar>
          <w:left w:w="0" w:type="dxa"/>
          <w:right w:w="115" w:type="dxa"/>
        </w:tblCellMar>
        <w:tblLook w:val="01E0" w:firstRow="1" w:lastRow="1" w:firstColumn="1" w:lastColumn="1" w:noHBand="0" w:noVBand="0"/>
      </w:tblPr>
      <w:tblGrid>
        <w:gridCol w:w="9242"/>
      </w:tblGrid>
      <w:tr w:rsidR="001672E6" w:rsidTr="00D0271D">
        <w:tc>
          <w:tcPr>
            <w:tcW w:w="9242" w:type="dxa"/>
            <w:shd w:val="clear" w:color="auto" w:fill="auto"/>
          </w:tcPr>
          <w:p w:rsidR="00AD0FDA" w:rsidRPr="00934B4C" w:rsidRDefault="000013A2" w:rsidP="00934B4C">
            <w:pPr>
              <w:spacing w:after="240"/>
              <w:rPr>
                <w:u w:val="single"/>
              </w:rPr>
            </w:pPr>
            <w:r w:rsidRPr="00297D74">
              <w:rPr>
                <w:u w:val="single"/>
              </w:rPr>
              <w:t>Food Regulations - Ready-to-eat food</w:t>
            </w:r>
            <w:bookmarkStart w:id="4" w:name="spsTitle"/>
            <w:bookmarkEnd w:id="4"/>
          </w:p>
        </w:tc>
      </w:tr>
      <w:tr w:rsidR="001672E6" w:rsidTr="00D0271D">
        <w:tc>
          <w:tcPr>
            <w:tcW w:w="9242" w:type="dxa"/>
            <w:shd w:val="clear" w:color="auto" w:fill="auto"/>
          </w:tcPr>
          <w:p w:rsidR="00AD0FDA" w:rsidRPr="00934B4C" w:rsidRDefault="000013A2" w:rsidP="000013A2">
            <w:pPr>
              <w:spacing w:after="120"/>
              <w:rPr>
                <w:u w:val="single"/>
              </w:rPr>
            </w:pPr>
            <w:r>
              <w:t>Singapore would like to notify WTO Members of the following changes to the proposed measures (previously notified via G/SPS/N/</w:t>
            </w:r>
            <w:proofErr w:type="spellStart"/>
            <w:r>
              <w:t>SGP</w:t>
            </w:r>
            <w:proofErr w:type="spellEnd"/>
            <w:r>
              <w:t>/59)</w:t>
            </w:r>
            <w:r w:rsidR="00B61C1E">
              <w:rPr>
                <w:rStyle w:val="Appelnotedebasdep"/>
              </w:rPr>
              <w:footnoteReference w:id="1"/>
            </w:r>
            <w:r>
              <w:t>, taking into consideration feedback and comments received from stakeholders and interested parties:</w:t>
            </w:r>
          </w:p>
          <w:p w:rsidR="000013A2" w:rsidRDefault="000013A2" w:rsidP="000013A2">
            <w:pPr>
              <w:pStyle w:val="Paragraphedeliste"/>
              <w:numPr>
                <w:ilvl w:val="0"/>
                <w:numId w:val="16"/>
              </w:numPr>
              <w:spacing w:after="240"/>
            </w:pPr>
            <w:r>
              <w:t>to delete the existing regulation 35 of the Food Regulations and substitute with the following new regulation 35:</w:t>
            </w:r>
          </w:p>
          <w:p w:rsidR="000013A2" w:rsidRDefault="000013A2" w:rsidP="000013A2">
            <w:pPr>
              <w:pStyle w:val="Paragraphedeliste"/>
              <w:spacing w:after="240"/>
            </w:pPr>
            <w:r>
              <w:t>35 -(1) Ready-to-eat food shall comply with the microbiological standard specified in Parts I and II of the Eleventh Schedule.</w:t>
            </w:r>
          </w:p>
          <w:p w:rsidR="001672E6" w:rsidRDefault="000013A2" w:rsidP="000013A2">
            <w:pPr>
              <w:pStyle w:val="Paragraphedeliste"/>
              <w:spacing w:after="120"/>
              <w:contextualSpacing w:val="0"/>
            </w:pPr>
            <w:r>
              <w:t>(2) In these Regulations, "ready-to-eat food" means food that is made available for sale for direct human consumption without the need for cooking or any other form of processing to eliminate, or reduce to the standards specified in the Eleventh Schedule, any pathogenic or other micro-organisms of concern in food; and includes concentrated food (e.g. beverages, cup noodles and fruit juice cordials, squashes and syrups) which have to be reconstituted or diluted with fluids before consumption, chilled or frozen cooked products (e.g. chicken wings, pizza and instant meal) which may be re-heated before consumption.</w:t>
            </w:r>
          </w:p>
          <w:p w:rsidR="00412999" w:rsidRDefault="000013A2" w:rsidP="000013A2">
            <w:pPr>
              <w:pStyle w:val="Paragraphedeliste"/>
              <w:numPr>
                <w:ilvl w:val="0"/>
                <w:numId w:val="16"/>
              </w:numPr>
              <w:spacing w:after="240"/>
            </w:pPr>
            <w:r>
              <w:t>to delete the existing Eleventh Schedule and substitut</w:t>
            </w:r>
            <w:r w:rsidR="00412999">
              <w:t>e with a new Eleventh Schedule:</w:t>
            </w:r>
          </w:p>
          <w:p w:rsidR="001672E6" w:rsidRDefault="000013A2" w:rsidP="00412999">
            <w:pPr>
              <w:spacing w:after="240"/>
              <w:contextualSpacing/>
              <w:jc w:val="center"/>
            </w:pPr>
            <w:r>
              <w:t>ELEVENTH SCHEDULE</w:t>
            </w:r>
          </w:p>
          <w:p w:rsidR="001672E6" w:rsidRDefault="000013A2" w:rsidP="00412999">
            <w:pPr>
              <w:spacing w:after="240"/>
              <w:jc w:val="center"/>
            </w:pPr>
            <w:r>
              <w:t>MICROBIOLOGICAL STANDARD FOR FOOD</w:t>
            </w:r>
          </w:p>
          <w:p w:rsidR="001672E6" w:rsidRDefault="000013A2">
            <w:pPr>
              <w:spacing w:after="240"/>
            </w:pPr>
            <w:r>
              <w:t xml:space="preserve">Part I: </w:t>
            </w:r>
            <w:r>
              <w:rPr>
                <w:i/>
                <w:iCs/>
              </w:rPr>
              <w:t>Enterobacteriaceae and Escherichia coli</w:t>
            </w:r>
          </w:p>
          <w:p w:rsidR="00412999" w:rsidRDefault="000013A2" w:rsidP="00412999">
            <w:pPr>
              <w:tabs>
                <w:tab w:val="left" w:pos="3261"/>
                <w:tab w:val="left" w:pos="6379"/>
              </w:tabs>
              <w:spacing w:after="240"/>
              <w:contextualSpacing/>
            </w:pPr>
            <w:r>
              <w:rPr>
                <w:i/>
                <w:iCs/>
              </w:rPr>
              <w:t>Type of Food</w:t>
            </w:r>
            <w:r w:rsidR="00412999">
              <w:rPr>
                <w:i/>
                <w:iCs/>
              </w:rPr>
              <w:tab/>
              <w:t>Enterobacteriaceae count</w:t>
            </w:r>
            <w:r w:rsidR="00412999">
              <w:rPr>
                <w:i/>
                <w:iCs/>
              </w:rPr>
              <w:tab/>
              <w:t>Escherichia coli count</w:t>
            </w:r>
          </w:p>
          <w:p w:rsidR="001672E6" w:rsidRDefault="00412999" w:rsidP="00412999">
            <w:pPr>
              <w:tabs>
                <w:tab w:val="left" w:pos="3192"/>
                <w:tab w:val="left" w:pos="6237"/>
              </w:tabs>
              <w:spacing w:after="240"/>
              <w:contextualSpacing/>
            </w:pPr>
            <w:r>
              <w:rPr>
                <w:i/>
                <w:iCs/>
              </w:rPr>
              <w:tab/>
            </w:r>
            <w:r w:rsidR="000013A2">
              <w:rPr>
                <w:i/>
                <w:iCs/>
              </w:rPr>
              <w:t>Colony forming unit/ gram</w:t>
            </w:r>
            <w:r>
              <w:rPr>
                <w:i/>
                <w:iCs/>
              </w:rPr>
              <w:tab/>
            </w:r>
            <w:r w:rsidR="000013A2">
              <w:rPr>
                <w:i/>
                <w:iCs/>
              </w:rPr>
              <w:t>Colony forming unit/ gram</w:t>
            </w:r>
          </w:p>
          <w:p w:rsidR="001672E6" w:rsidRDefault="00412999" w:rsidP="000013A2">
            <w:pPr>
              <w:tabs>
                <w:tab w:val="left" w:pos="4111"/>
                <w:tab w:val="left" w:pos="7088"/>
              </w:tabs>
            </w:pPr>
            <w:r>
              <w:rPr>
                <w:i/>
                <w:iCs/>
              </w:rPr>
              <w:tab/>
              <w:t>(</w:t>
            </w:r>
            <w:proofErr w:type="spellStart"/>
            <w:r>
              <w:rPr>
                <w:i/>
                <w:iCs/>
              </w:rPr>
              <w:t>cfu</w:t>
            </w:r>
            <w:proofErr w:type="spellEnd"/>
            <w:r>
              <w:rPr>
                <w:i/>
                <w:iCs/>
              </w:rPr>
              <w:t>/g)</w:t>
            </w:r>
            <w:r>
              <w:tab/>
            </w:r>
            <w:r w:rsidR="000013A2">
              <w:rPr>
                <w:i/>
                <w:iCs/>
              </w:rPr>
              <w:t>(</w:t>
            </w:r>
            <w:proofErr w:type="spellStart"/>
            <w:r w:rsidR="000013A2">
              <w:rPr>
                <w:i/>
                <w:iCs/>
              </w:rPr>
              <w:t>cfu</w:t>
            </w:r>
            <w:proofErr w:type="spellEnd"/>
            <w:r w:rsidR="000013A2">
              <w:rPr>
                <w:i/>
                <w:iCs/>
              </w:rPr>
              <w:t>/g)</w:t>
            </w:r>
          </w:p>
          <w:p w:rsidR="00412999" w:rsidRDefault="000013A2" w:rsidP="00412999">
            <w:pPr>
              <w:tabs>
                <w:tab w:val="left" w:pos="4111"/>
                <w:tab w:val="left" w:pos="7088"/>
              </w:tabs>
              <w:spacing w:after="240"/>
              <w:contextualSpacing/>
            </w:pPr>
            <w:r>
              <w:t>Milk powder (including full-</w:t>
            </w:r>
            <w:r w:rsidR="00412999">
              <w:tab/>
              <w:t>&lt;10</w:t>
            </w:r>
            <w:r w:rsidR="00412999">
              <w:rPr>
                <w:vertAlign w:val="superscript"/>
              </w:rPr>
              <w:t>4</w:t>
            </w:r>
            <w:r w:rsidR="00412999">
              <w:rPr>
                <w:vertAlign w:val="superscript"/>
              </w:rPr>
              <w:tab/>
            </w:r>
            <w:r w:rsidR="00412999">
              <w:rPr>
                <w:i/>
                <w:iCs/>
              </w:rPr>
              <w:t>&lt;</w:t>
            </w:r>
            <w:r w:rsidR="00412999">
              <w:t>10</w:t>
            </w:r>
            <w:r w:rsidR="00412999">
              <w:rPr>
                <w:vertAlign w:val="superscript"/>
              </w:rPr>
              <w:t>2</w:t>
            </w:r>
          </w:p>
          <w:p w:rsidR="00412999" w:rsidRDefault="00412999" w:rsidP="00412999">
            <w:pPr>
              <w:spacing w:after="240"/>
              <w:contextualSpacing/>
            </w:pPr>
            <w:r>
              <w:t>cream, half cream, skimmed</w:t>
            </w:r>
          </w:p>
          <w:p w:rsidR="00412999" w:rsidRDefault="00412999" w:rsidP="00412999">
            <w:pPr>
              <w:spacing w:after="240"/>
              <w:contextualSpacing/>
            </w:pPr>
            <w:r>
              <w:t>milk and infant formula),</w:t>
            </w:r>
          </w:p>
          <w:p w:rsidR="00412999" w:rsidRDefault="00412999" w:rsidP="00412999">
            <w:pPr>
              <w:spacing w:after="240"/>
              <w:contextualSpacing/>
            </w:pPr>
            <w:r>
              <w:t>buttermilk powder,</w:t>
            </w:r>
          </w:p>
          <w:p w:rsidR="001672E6" w:rsidRDefault="000013A2" w:rsidP="00412999">
            <w:pPr>
              <w:spacing w:after="240"/>
              <w:contextualSpacing/>
            </w:pPr>
            <w:r>
              <w:t>pasteurized milk and ice cream</w:t>
            </w:r>
          </w:p>
          <w:p w:rsidR="001672E6" w:rsidRDefault="000013A2" w:rsidP="00412999">
            <w:pPr>
              <w:tabs>
                <w:tab w:val="left" w:pos="4111"/>
                <w:tab w:val="left" w:pos="7088"/>
              </w:tabs>
              <w:spacing w:after="240"/>
              <w:contextualSpacing/>
            </w:pPr>
            <w:r>
              <w:t>All other ready-to-eat food</w:t>
            </w:r>
            <w:r w:rsidR="00412999">
              <w:tab/>
            </w:r>
            <w:r>
              <w:t>&lt;10</w:t>
            </w:r>
            <w:r>
              <w:rPr>
                <w:vertAlign w:val="superscript"/>
              </w:rPr>
              <w:t>4</w:t>
            </w:r>
            <w:r w:rsidR="00412999" w:rsidRPr="00412999">
              <w:tab/>
            </w:r>
            <w:r>
              <w:rPr>
                <w:i/>
                <w:iCs/>
              </w:rPr>
              <w:t>&lt;</w:t>
            </w:r>
            <w:r>
              <w:t>10</w:t>
            </w:r>
            <w:r>
              <w:rPr>
                <w:vertAlign w:val="superscript"/>
              </w:rPr>
              <w:t>2</w:t>
            </w:r>
          </w:p>
          <w:p w:rsidR="001672E6" w:rsidRDefault="000013A2">
            <w:pPr>
              <w:spacing w:after="240"/>
            </w:pPr>
            <w:r>
              <w:lastRenderedPageBreak/>
              <w:t>Part II: Pathogens</w:t>
            </w:r>
          </w:p>
          <w:p w:rsidR="001672E6" w:rsidRDefault="000013A2" w:rsidP="00412999">
            <w:pPr>
              <w:tabs>
                <w:tab w:val="left" w:pos="4536"/>
              </w:tabs>
              <w:spacing w:after="240"/>
              <w:contextualSpacing/>
              <w:rPr>
                <w:i/>
                <w:iCs/>
              </w:rPr>
            </w:pPr>
            <w:r>
              <w:t>Pathogens</w:t>
            </w:r>
            <w:r w:rsidR="00412999">
              <w:tab/>
            </w:r>
            <w:r>
              <w:rPr>
                <w:i/>
                <w:iCs/>
              </w:rPr>
              <w:t xml:space="preserve">Colony forming unit /gram </w:t>
            </w:r>
          </w:p>
          <w:p w:rsidR="001672E6" w:rsidRPr="00412999" w:rsidRDefault="00412999" w:rsidP="000013A2">
            <w:pPr>
              <w:tabs>
                <w:tab w:val="left" w:pos="4536"/>
              </w:tabs>
              <w:rPr>
                <w:lang w:val="fr-CH"/>
              </w:rPr>
            </w:pPr>
            <w:r>
              <w:rPr>
                <w:i/>
                <w:iCs/>
              </w:rPr>
              <w:tab/>
            </w:r>
            <w:r w:rsidR="000013A2" w:rsidRPr="00412999">
              <w:rPr>
                <w:i/>
                <w:iCs/>
                <w:lang w:val="fr-CH"/>
              </w:rPr>
              <w:t>(</w:t>
            </w:r>
            <w:proofErr w:type="spellStart"/>
            <w:proofErr w:type="gramStart"/>
            <w:r w:rsidR="000013A2" w:rsidRPr="00412999">
              <w:rPr>
                <w:i/>
                <w:iCs/>
                <w:lang w:val="fr-CH"/>
              </w:rPr>
              <w:t>cfu</w:t>
            </w:r>
            <w:proofErr w:type="spellEnd"/>
            <w:proofErr w:type="gramEnd"/>
            <w:r w:rsidR="000013A2" w:rsidRPr="00412999">
              <w:rPr>
                <w:i/>
                <w:iCs/>
                <w:lang w:val="fr-CH"/>
              </w:rPr>
              <w:t>/g)</w:t>
            </w:r>
          </w:p>
          <w:p w:rsidR="001672E6" w:rsidRPr="00412999" w:rsidRDefault="000013A2" w:rsidP="00412999">
            <w:pPr>
              <w:tabs>
                <w:tab w:val="left" w:pos="4536"/>
              </w:tabs>
              <w:spacing w:after="240"/>
              <w:contextualSpacing/>
              <w:rPr>
                <w:lang w:val="fr-CH"/>
              </w:rPr>
            </w:pPr>
            <w:r w:rsidRPr="00412999">
              <w:rPr>
                <w:lang w:val="fr-CH"/>
              </w:rPr>
              <w:t xml:space="preserve">Coagulase-positive </w:t>
            </w:r>
            <w:r w:rsidRPr="00412999">
              <w:rPr>
                <w:i/>
                <w:iCs/>
                <w:lang w:val="fr-CH"/>
              </w:rPr>
              <w:t>St</w:t>
            </w:r>
            <w:r w:rsidRPr="00A77749">
              <w:rPr>
                <w:i/>
                <w:iCs/>
                <w:lang w:val="fr-CH"/>
              </w:rPr>
              <w:t>aphylococcus aureus</w:t>
            </w:r>
            <w:r w:rsidR="00412999">
              <w:rPr>
                <w:i/>
                <w:iCs/>
                <w:lang w:val="fr-CH"/>
              </w:rPr>
              <w:tab/>
            </w:r>
            <w:r w:rsidRPr="00412999">
              <w:rPr>
                <w:lang w:val="fr-CH"/>
              </w:rPr>
              <w:t>&lt;10</w:t>
            </w:r>
            <w:r w:rsidRPr="00412999">
              <w:rPr>
                <w:vertAlign w:val="superscript"/>
                <w:lang w:val="fr-CH"/>
              </w:rPr>
              <w:t>2</w:t>
            </w:r>
          </w:p>
          <w:p w:rsidR="001672E6" w:rsidRDefault="000013A2" w:rsidP="00412999">
            <w:pPr>
              <w:tabs>
                <w:tab w:val="left" w:pos="4536"/>
              </w:tabs>
              <w:spacing w:after="240"/>
              <w:contextualSpacing/>
            </w:pPr>
            <w:r>
              <w:rPr>
                <w:i/>
                <w:iCs/>
              </w:rPr>
              <w:t>Bacillus cereus</w:t>
            </w:r>
            <w:r w:rsidR="00412999">
              <w:rPr>
                <w:i/>
                <w:iCs/>
              </w:rPr>
              <w:tab/>
            </w:r>
            <w:r>
              <w:t>&lt;2.0 X 10</w:t>
            </w:r>
            <w:r>
              <w:rPr>
                <w:vertAlign w:val="superscript"/>
              </w:rPr>
              <w:t>2</w:t>
            </w:r>
          </w:p>
          <w:p w:rsidR="001672E6" w:rsidRDefault="000013A2" w:rsidP="00412999">
            <w:pPr>
              <w:tabs>
                <w:tab w:val="left" w:pos="4536"/>
              </w:tabs>
              <w:spacing w:after="240"/>
              <w:contextualSpacing/>
            </w:pPr>
            <w:r>
              <w:rPr>
                <w:i/>
                <w:iCs/>
              </w:rPr>
              <w:t>Clostridium perfringens</w:t>
            </w:r>
            <w:r w:rsidR="00412999">
              <w:rPr>
                <w:i/>
                <w:iCs/>
              </w:rPr>
              <w:tab/>
            </w:r>
            <w:r>
              <w:t>&lt;10</w:t>
            </w:r>
            <w:r>
              <w:rPr>
                <w:vertAlign w:val="superscript"/>
              </w:rPr>
              <w:t>2</w:t>
            </w:r>
          </w:p>
          <w:p w:rsidR="001672E6" w:rsidRDefault="00412999" w:rsidP="000013A2">
            <w:pPr>
              <w:tabs>
                <w:tab w:val="left" w:pos="4536"/>
              </w:tabs>
              <w:spacing w:after="240"/>
            </w:pPr>
            <w:r>
              <w:rPr>
                <w:i/>
                <w:iCs/>
              </w:rPr>
              <w:t>Vibrio parahaemolyticus</w:t>
            </w:r>
            <w:r>
              <w:rPr>
                <w:i/>
                <w:iCs/>
              </w:rPr>
              <w:tab/>
            </w:r>
            <w:r w:rsidR="000013A2">
              <w:rPr>
                <w:i/>
                <w:iCs/>
              </w:rPr>
              <w:t>&lt;</w:t>
            </w:r>
            <w:r w:rsidR="000013A2">
              <w:t>10</w:t>
            </w:r>
            <w:r w:rsidR="000013A2">
              <w:rPr>
                <w:vertAlign w:val="superscript"/>
              </w:rPr>
              <w:t>2</w:t>
            </w:r>
            <w:r w:rsidR="000013A2">
              <w:t xml:space="preserve"> in raw ready-to-eat seafood only</w:t>
            </w:r>
          </w:p>
          <w:p w:rsidR="001672E6" w:rsidRDefault="000013A2" w:rsidP="000013A2">
            <w:pPr>
              <w:spacing w:after="240"/>
            </w:pPr>
            <w:r>
              <w:t xml:space="preserve">Pathogens other than the ones listed in the table above, </w:t>
            </w:r>
            <w:proofErr w:type="gramStart"/>
            <w:r>
              <w:t>whether or not</w:t>
            </w:r>
            <w:proofErr w:type="gramEnd"/>
            <w:r>
              <w:t xml:space="preserve"> commonly associated with the ready-to-eat food, should not be detected in 25 grams of the ready-to-eat food.</w:t>
            </w:r>
            <w:bookmarkStart w:id="5" w:name="spsMeasure"/>
            <w:bookmarkEnd w:id="5"/>
          </w:p>
        </w:tc>
      </w:tr>
      <w:tr w:rsidR="001672E6" w:rsidTr="00D0271D">
        <w:tc>
          <w:tcPr>
            <w:tcW w:w="9242" w:type="dxa"/>
            <w:shd w:val="clear" w:color="auto" w:fill="auto"/>
          </w:tcPr>
          <w:p w:rsidR="00AD0FDA" w:rsidRPr="00E32B66" w:rsidRDefault="000013A2" w:rsidP="00934B4C">
            <w:pPr>
              <w:spacing w:after="240"/>
              <w:rPr>
                <w:b/>
              </w:rPr>
            </w:pPr>
            <w:r w:rsidRPr="00E32B66">
              <w:rPr>
                <w:b/>
              </w:rPr>
              <w:lastRenderedPageBreak/>
              <w:t>This addendum concerns a:</w:t>
            </w:r>
          </w:p>
        </w:tc>
      </w:tr>
      <w:tr w:rsidR="001672E6" w:rsidTr="00D0271D">
        <w:tc>
          <w:tcPr>
            <w:tcW w:w="9242" w:type="dxa"/>
            <w:shd w:val="clear" w:color="auto" w:fill="auto"/>
          </w:tcPr>
          <w:p w:rsidR="00AD0FDA" w:rsidRPr="00E32B66" w:rsidRDefault="000013A2" w:rsidP="00934B4C">
            <w:pPr>
              <w:ind w:left="1440" w:hanging="873"/>
            </w:pPr>
            <w:r w:rsidRPr="00E32B66">
              <w:t>[ ]</w:t>
            </w:r>
            <w:bookmarkStart w:id="6" w:name="spsModificationComment"/>
            <w:bookmarkEnd w:id="6"/>
            <w:r w:rsidRPr="00E32B66">
              <w:tab/>
              <w:t>Modification of final date for comments</w:t>
            </w:r>
          </w:p>
        </w:tc>
      </w:tr>
      <w:tr w:rsidR="001672E6" w:rsidTr="00D0271D">
        <w:tc>
          <w:tcPr>
            <w:tcW w:w="9242" w:type="dxa"/>
            <w:shd w:val="clear" w:color="auto" w:fill="auto"/>
          </w:tcPr>
          <w:p w:rsidR="00AD0FDA" w:rsidRPr="00E32B66" w:rsidRDefault="000013A2" w:rsidP="00934B4C">
            <w:pPr>
              <w:ind w:left="1440" w:hanging="873"/>
            </w:pPr>
            <w:r w:rsidRPr="00E32B66">
              <w:t>[ ]</w:t>
            </w:r>
            <w:bookmarkStart w:id="7" w:name="spsNotification"/>
            <w:bookmarkEnd w:id="7"/>
            <w:r w:rsidRPr="00E32B66">
              <w:tab/>
              <w:t>Notification of adoption, publication or entry into force of regulation</w:t>
            </w:r>
          </w:p>
        </w:tc>
      </w:tr>
      <w:tr w:rsidR="001672E6" w:rsidTr="00D0271D">
        <w:tc>
          <w:tcPr>
            <w:tcW w:w="9242" w:type="dxa"/>
            <w:shd w:val="clear" w:color="auto" w:fill="auto"/>
          </w:tcPr>
          <w:p w:rsidR="00AD0FDA" w:rsidRPr="00E32B66" w:rsidRDefault="000013A2" w:rsidP="00934B4C">
            <w:pPr>
              <w:ind w:left="1440" w:hanging="873"/>
            </w:pPr>
            <w:r w:rsidRPr="00E32B66">
              <w:t>[</w:t>
            </w:r>
            <w:r w:rsidR="00E32B66" w:rsidRPr="00E32B66">
              <w:rPr>
                <w:b/>
              </w:rPr>
              <w:t>X</w:t>
            </w:r>
            <w:r w:rsidRPr="00E32B66">
              <w:t>]</w:t>
            </w:r>
            <w:bookmarkStart w:id="8" w:name="spsModificationContent"/>
            <w:bookmarkEnd w:id="8"/>
            <w:r w:rsidRPr="00E32B66">
              <w:tab/>
              <w:t>Modification of content and/or scope of previously notified draft regulation</w:t>
            </w:r>
          </w:p>
        </w:tc>
      </w:tr>
      <w:tr w:rsidR="001672E6" w:rsidTr="00D0271D">
        <w:tc>
          <w:tcPr>
            <w:tcW w:w="9242" w:type="dxa"/>
            <w:shd w:val="clear" w:color="auto" w:fill="auto"/>
          </w:tcPr>
          <w:p w:rsidR="00AD0FDA" w:rsidRPr="00E32B66" w:rsidRDefault="000013A2" w:rsidP="00934B4C">
            <w:pPr>
              <w:ind w:left="1440" w:hanging="873"/>
            </w:pPr>
            <w:r w:rsidRPr="00E32B66">
              <w:t>[ ]</w:t>
            </w:r>
            <w:bookmarkStart w:id="9" w:name="spsWithdraw"/>
            <w:bookmarkEnd w:id="9"/>
            <w:r w:rsidRPr="00E32B66">
              <w:tab/>
              <w:t>Withdrawal of proposed regulation</w:t>
            </w:r>
          </w:p>
        </w:tc>
      </w:tr>
      <w:tr w:rsidR="001672E6" w:rsidTr="00D0271D">
        <w:tc>
          <w:tcPr>
            <w:tcW w:w="9242" w:type="dxa"/>
            <w:shd w:val="clear" w:color="auto" w:fill="auto"/>
          </w:tcPr>
          <w:p w:rsidR="00AD0FDA" w:rsidRPr="00E32B66" w:rsidRDefault="000013A2" w:rsidP="00934B4C">
            <w:pPr>
              <w:ind w:left="1440" w:hanging="873"/>
            </w:pPr>
            <w:r w:rsidRPr="00E32B66">
              <w:t>[ ]</w:t>
            </w:r>
            <w:bookmarkStart w:id="10" w:name="spsModificationDate"/>
            <w:bookmarkEnd w:id="10"/>
            <w:r w:rsidRPr="00E32B66">
              <w:tab/>
              <w:t>Change in proposed date of adoption, publication or date of entry into force</w:t>
            </w:r>
          </w:p>
        </w:tc>
      </w:tr>
      <w:tr w:rsidR="001672E6" w:rsidTr="00D0271D">
        <w:tc>
          <w:tcPr>
            <w:tcW w:w="9242" w:type="dxa"/>
            <w:shd w:val="clear" w:color="auto" w:fill="auto"/>
          </w:tcPr>
          <w:p w:rsidR="00AD0FDA" w:rsidRPr="00E32B66" w:rsidRDefault="000013A2" w:rsidP="00934B4C">
            <w:pPr>
              <w:spacing w:after="240"/>
              <w:ind w:left="1440" w:hanging="873"/>
            </w:pPr>
            <w:r w:rsidRPr="00E32B66">
              <w:t>[ ]</w:t>
            </w:r>
            <w:bookmarkStart w:id="11" w:name="spsModificationOther"/>
            <w:bookmarkEnd w:id="11"/>
            <w:r w:rsidRPr="00E32B66">
              <w:tab/>
              <w:t xml:space="preserve">Other: </w:t>
            </w:r>
            <w:bookmarkStart w:id="12" w:name="spsModificationOtherText"/>
            <w:bookmarkEnd w:id="12"/>
          </w:p>
        </w:tc>
      </w:tr>
      <w:tr w:rsidR="001672E6" w:rsidTr="00D0271D">
        <w:tc>
          <w:tcPr>
            <w:tcW w:w="9242" w:type="dxa"/>
            <w:shd w:val="clear" w:color="auto" w:fill="auto"/>
          </w:tcPr>
          <w:p w:rsidR="00AD0FDA" w:rsidRPr="00E32B66" w:rsidRDefault="000013A2" w:rsidP="00934B4C">
            <w:pPr>
              <w:spacing w:after="240"/>
              <w:rPr>
                <w:b/>
              </w:rPr>
            </w:pPr>
            <w:bookmarkStart w:id="13" w:name="spsComment"/>
            <w:r w:rsidRPr="00E32B66">
              <w:rPr>
                <w:b/>
              </w:rPr>
              <w:t xml:space="preserve">Comment period: </w:t>
            </w:r>
            <w:r w:rsidRPr="00E32B66">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1672E6" w:rsidTr="00D0271D">
        <w:tc>
          <w:tcPr>
            <w:tcW w:w="9242" w:type="dxa"/>
            <w:shd w:val="clear" w:color="auto" w:fill="auto"/>
          </w:tcPr>
          <w:p w:rsidR="001672E6" w:rsidRPr="00934B4C" w:rsidRDefault="000013A2" w:rsidP="00412999">
            <w:pPr>
              <w:spacing w:after="240"/>
              <w:ind w:left="1440" w:hanging="873"/>
            </w:pPr>
            <w:proofErr w:type="gramStart"/>
            <w:r w:rsidRPr="00934B4C">
              <w:t>[ ]</w:t>
            </w:r>
            <w:bookmarkStart w:id="14" w:name="spsSixtyDayCirculation"/>
            <w:bookmarkEnd w:id="14"/>
            <w:proofErr w:type="gramEnd"/>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rsidRPr="00934B4C">
              <w:t>30 days from the date of notification of this addendum.</w:t>
            </w:r>
            <w:bookmarkEnd w:id="15"/>
          </w:p>
        </w:tc>
      </w:tr>
      <w:tr w:rsidR="001672E6" w:rsidTr="00D0271D">
        <w:tc>
          <w:tcPr>
            <w:tcW w:w="9242" w:type="dxa"/>
            <w:shd w:val="clear" w:color="auto" w:fill="auto"/>
          </w:tcPr>
          <w:p w:rsidR="00AD0FDA" w:rsidRPr="00934B4C" w:rsidRDefault="000013A2" w:rsidP="00934B4C">
            <w:pPr>
              <w:spacing w:after="240"/>
              <w:rPr>
                <w:b/>
              </w:rPr>
            </w:pPr>
            <w:r w:rsidRPr="00934B4C">
              <w:rPr>
                <w:b/>
              </w:rPr>
              <w:t>Agency or authority designated to handle comments: [ ]</w:t>
            </w:r>
            <w:bookmarkStart w:id="16" w:name="spsCommentNNA"/>
            <w:bookmarkEnd w:id="16"/>
            <w:r w:rsidRPr="00934B4C">
              <w:rPr>
                <w:b/>
              </w:rPr>
              <w:t> National Notification Authority, [ ]</w:t>
            </w:r>
            <w:bookmarkStart w:id="17" w:name="spsCommentNEP"/>
            <w:bookmarkEnd w:id="17"/>
            <w:r w:rsidRPr="00934B4C">
              <w:rPr>
                <w:b/>
              </w:rPr>
              <w:t xml:space="preserve"> National Enquiry Point. Address, fax number and e-mail address (if available) of other body:</w:t>
            </w:r>
          </w:p>
        </w:tc>
      </w:tr>
      <w:tr w:rsidR="001672E6" w:rsidTr="00D0271D">
        <w:tc>
          <w:tcPr>
            <w:tcW w:w="9242" w:type="dxa"/>
            <w:shd w:val="clear" w:color="auto" w:fill="auto"/>
          </w:tcPr>
          <w:p w:rsidR="001672E6" w:rsidRDefault="000013A2">
            <w:r>
              <w:t xml:space="preserve">Regulatory Administration Group Agri-Food and Veterinary Authority </w:t>
            </w:r>
          </w:p>
          <w:p w:rsidR="001672E6" w:rsidRDefault="000013A2">
            <w:r>
              <w:t xml:space="preserve">52 </w:t>
            </w:r>
            <w:proofErr w:type="spellStart"/>
            <w:r>
              <w:t>Jurong</w:t>
            </w:r>
            <w:proofErr w:type="spellEnd"/>
            <w:r>
              <w:t xml:space="preserve"> Gateway Road #14-01 Singapore 608550 </w:t>
            </w:r>
          </w:p>
          <w:p w:rsidR="001672E6" w:rsidRDefault="000013A2">
            <w:r>
              <w:t xml:space="preserve">Fax: +(65) 6334 1831 </w:t>
            </w:r>
          </w:p>
          <w:p w:rsidR="001672E6" w:rsidRDefault="000013A2">
            <w:pPr>
              <w:spacing w:after="240"/>
            </w:pPr>
            <w:r>
              <w:t>E-mail: WTO_Contact@ava.gov.sg</w:t>
            </w:r>
            <w:bookmarkStart w:id="18" w:name="spsCommentAddress"/>
            <w:bookmarkEnd w:id="18"/>
            <w:r w:rsidRPr="00934B4C">
              <w:t xml:space="preserve"> </w:t>
            </w:r>
          </w:p>
        </w:tc>
      </w:tr>
      <w:tr w:rsidR="001672E6" w:rsidTr="00D0271D">
        <w:tc>
          <w:tcPr>
            <w:tcW w:w="9242" w:type="dxa"/>
            <w:shd w:val="clear" w:color="auto" w:fill="auto"/>
          </w:tcPr>
          <w:p w:rsidR="00AD0FDA" w:rsidRPr="00934B4C" w:rsidRDefault="000013A2" w:rsidP="00934B4C">
            <w:pPr>
              <w:spacing w:after="240"/>
              <w:rPr>
                <w:b/>
              </w:rPr>
            </w:pPr>
            <w:r w:rsidRPr="00934B4C">
              <w:rPr>
                <w:b/>
              </w:rPr>
              <w:t>Text(s) available from: [ ]</w:t>
            </w:r>
            <w:bookmarkStart w:id="19" w:name="spsTextAvailableNNA"/>
            <w:bookmarkEnd w:id="19"/>
            <w:r w:rsidRPr="00934B4C">
              <w:rPr>
                <w:b/>
              </w:rPr>
              <w:t> National Notification Authority, [ ]</w:t>
            </w:r>
            <w:bookmarkStart w:id="20" w:name="spsTextAvailableNEP"/>
            <w:bookmarkEnd w:id="20"/>
            <w:r w:rsidRPr="00934B4C">
              <w:rPr>
                <w:b/>
              </w:rPr>
              <w:t xml:space="preserve"> National Enquiry Point. Address, fax number and e-mail address (if available) of other body:</w:t>
            </w:r>
          </w:p>
        </w:tc>
      </w:tr>
      <w:tr w:rsidR="001672E6" w:rsidTr="00D0271D">
        <w:tc>
          <w:tcPr>
            <w:tcW w:w="9242" w:type="dxa"/>
            <w:shd w:val="clear" w:color="auto" w:fill="auto"/>
          </w:tcPr>
          <w:p w:rsidR="00AD0FDA" w:rsidRPr="00934B4C" w:rsidRDefault="000013A2" w:rsidP="00934B4C">
            <w:pPr>
              <w:spacing w:after="240"/>
            </w:pPr>
            <w:r>
              <w:t xml:space="preserve">The public consultation document and proposed regulations are being drafted, and will be posted at the following website as soon as they are available: </w:t>
            </w:r>
            <w:hyperlink r:id="rId8" w:history="1">
              <w:r>
                <w:rPr>
                  <w:color w:val="0000FF"/>
                  <w:u w:val="single"/>
                </w:rPr>
                <w:t>http://www.ava.gov.sg/legislation</w:t>
              </w:r>
            </w:hyperlink>
            <w:r>
              <w:t xml:space="preserve"> (select "Sale of Food Act").</w:t>
            </w:r>
            <w:bookmarkStart w:id="21" w:name="spsTextSupplierAddress"/>
            <w:bookmarkEnd w:id="21"/>
            <w:r w:rsidRPr="00934B4C">
              <w:t xml:space="preserve"> </w:t>
            </w:r>
          </w:p>
        </w:tc>
      </w:tr>
    </w:tbl>
    <w:p w:rsidR="00AD0FDA" w:rsidRPr="00934B4C" w:rsidRDefault="000013A2" w:rsidP="00934B4C">
      <w:pPr>
        <w:jc w:val="center"/>
        <w:rPr>
          <w:b/>
        </w:rPr>
      </w:pPr>
      <w:r w:rsidRPr="00934B4C">
        <w:rPr>
          <w:b/>
        </w:rPr>
        <w:t>__________</w:t>
      </w:r>
    </w:p>
    <w:sectPr w:rsidR="00AD0FDA" w:rsidRPr="00934B4C" w:rsidSect="00A77749">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9DA" w:rsidRDefault="000013A2">
      <w:r>
        <w:separator/>
      </w:r>
    </w:p>
  </w:endnote>
  <w:endnote w:type="continuationSeparator" w:id="0">
    <w:p w:rsidR="00D219DA" w:rsidRDefault="0000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A77749" w:rsidRDefault="00A77749" w:rsidP="00A77749">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A77749" w:rsidRDefault="00A77749" w:rsidP="00A77749">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0013A2">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9DA" w:rsidRDefault="000013A2">
      <w:r>
        <w:separator/>
      </w:r>
    </w:p>
  </w:footnote>
  <w:footnote w:type="continuationSeparator" w:id="0">
    <w:p w:rsidR="00D219DA" w:rsidRDefault="000013A2">
      <w:r>
        <w:continuationSeparator/>
      </w:r>
    </w:p>
  </w:footnote>
  <w:footnote w:id="1">
    <w:p w:rsidR="00B61C1E" w:rsidRDefault="00B61C1E" w:rsidP="00B61C1E">
      <w:pPr>
        <w:pStyle w:val="Notedebasdepage"/>
      </w:pPr>
      <w:r>
        <w:rPr>
          <w:rStyle w:val="Appelnotedebasdep"/>
        </w:rPr>
        <w:footnoteRef/>
      </w:r>
      <w:r>
        <w:t xml:space="preserve"> On 4 September 2018, the Agri-Food and Veterinary Authority (AVA) of Singapore notified the WTO SPS Committee of its intention to amend the regulations for microbiological standard for food via G/SPS/N/</w:t>
      </w:r>
      <w:proofErr w:type="spellStart"/>
      <w:r>
        <w:t>SGP</w:t>
      </w:r>
      <w:proofErr w:type="spellEnd"/>
      <w:r>
        <w:t xml:space="preserve">/59. At the close of the notification period, Singapore received </w:t>
      </w:r>
      <w:proofErr w:type="gramStart"/>
      <w:r>
        <w:t>a number of</w:t>
      </w:r>
      <w:proofErr w:type="gramEnd"/>
      <w:r>
        <w:t xml:space="preserve"> comments. The summary of comments received, together with Singapore's response, can be downloaded from the following portal:</w:t>
      </w:r>
    </w:p>
    <w:p w:rsidR="00B61C1E" w:rsidRDefault="00A2779F" w:rsidP="00B61C1E">
      <w:pPr>
        <w:pStyle w:val="Notedebasdepage"/>
      </w:pPr>
      <w:hyperlink r:id="rId1" w:history="1">
        <w:r w:rsidR="000013A2" w:rsidRPr="0012072C">
          <w:rPr>
            <w:rStyle w:val="Lienhypertexte"/>
          </w:rPr>
          <w:t>https://www.reach.gov.sg/participate/public-consultation/agrifood-veterinary-authority-of-singapore/regulatory-programmes/proposed-amendments-to-the-food-regulations-regarding-microbiological-standards-for-rte-food</w:t>
        </w:r>
      </w:hyperlink>
      <w:r w:rsidR="000013A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49" w:rsidRPr="00A77749" w:rsidRDefault="00A77749" w:rsidP="00A77749">
    <w:pPr>
      <w:pStyle w:val="En-tte"/>
      <w:pBdr>
        <w:bottom w:val="single" w:sz="4" w:space="1" w:color="auto"/>
      </w:pBdr>
      <w:tabs>
        <w:tab w:val="clear" w:pos="4513"/>
        <w:tab w:val="clear" w:pos="9027"/>
      </w:tabs>
      <w:jc w:val="center"/>
    </w:pPr>
    <w:r w:rsidRPr="00A77749">
      <w:t>G/SPS/N/</w:t>
    </w:r>
    <w:proofErr w:type="spellStart"/>
    <w:r w:rsidRPr="00A77749">
      <w:t>SGP</w:t>
    </w:r>
    <w:proofErr w:type="spellEnd"/>
    <w:r w:rsidRPr="00A77749">
      <w:t>/59/Add.1</w:t>
    </w:r>
  </w:p>
  <w:p w:rsidR="00A77749" w:rsidRPr="00A77749" w:rsidRDefault="00A77749" w:rsidP="00A77749">
    <w:pPr>
      <w:pStyle w:val="En-tte"/>
      <w:pBdr>
        <w:bottom w:val="single" w:sz="4" w:space="1" w:color="auto"/>
      </w:pBdr>
      <w:tabs>
        <w:tab w:val="clear" w:pos="4513"/>
        <w:tab w:val="clear" w:pos="9027"/>
      </w:tabs>
      <w:jc w:val="center"/>
    </w:pPr>
  </w:p>
  <w:p w:rsidR="00A77749" w:rsidRPr="00A77749" w:rsidRDefault="00A77749" w:rsidP="00A77749">
    <w:pPr>
      <w:pStyle w:val="En-tte"/>
      <w:pBdr>
        <w:bottom w:val="single" w:sz="4" w:space="1" w:color="auto"/>
      </w:pBdr>
      <w:tabs>
        <w:tab w:val="clear" w:pos="4513"/>
        <w:tab w:val="clear" w:pos="9027"/>
      </w:tabs>
      <w:jc w:val="center"/>
    </w:pPr>
    <w:r w:rsidRPr="00A77749">
      <w:t xml:space="preserve">- </w:t>
    </w:r>
    <w:r w:rsidRPr="00A77749">
      <w:fldChar w:fldCharType="begin"/>
    </w:r>
    <w:r w:rsidRPr="00A77749">
      <w:instrText xml:space="preserve"> PAGE </w:instrText>
    </w:r>
    <w:r w:rsidRPr="00A77749">
      <w:fldChar w:fldCharType="separate"/>
    </w:r>
    <w:r w:rsidR="00A2779F">
      <w:rPr>
        <w:noProof/>
      </w:rPr>
      <w:t>2</w:t>
    </w:r>
    <w:r w:rsidRPr="00A77749">
      <w:fldChar w:fldCharType="end"/>
    </w:r>
    <w:r w:rsidRPr="00A77749">
      <w:t xml:space="preserve"> -</w:t>
    </w:r>
  </w:p>
  <w:p w:rsidR="00AD0FDA" w:rsidRPr="00A77749" w:rsidRDefault="00A2779F" w:rsidP="00A77749">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49" w:rsidRPr="00A77749" w:rsidRDefault="00A77749" w:rsidP="00A77749">
    <w:pPr>
      <w:pStyle w:val="En-tte"/>
      <w:pBdr>
        <w:bottom w:val="single" w:sz="4" w:space="1" w:color="auto"/>
      </w:pBdr>
      <w:tabs>
        <w:tab w:val="clear" w:pos="4513"/>
        <w:tab w:val="clear" w:pos="9027"/>
      </w:tabs>
      <w:jc w:val="center"/>
    </w:pPr>
    <w:r w:rsidRPr="00A77749">
      <w:t>G/SPS/N/</w:t>
    </w:r>
    <w:proofErr w:type="spellStart"/>
    <w:r w:rsidRPr="00A77749">
      <w:t>SGP</w:t>
    </w:r>
    <w:proofErr w:type="spellEnd"/>
    <w:r w:rsidRPr="00A77749">
      <w:t>/59/Add.1</w:t>
    </w:r>
  </w:p>
  <w:p w:rsidR="00A77749" w:rsidRPr="00A77749" w:rsidRDefault="00A77749" w:rsidP="00A77749">
    <w:pPr>
      <w:pStyle w:val="En-tte"/>
      <w:pBdr>
        <w:bottom w:val="single" w:sz="4" w:space="1" w:color="auto"/>
      </w:pBdr>
      <w:tabs>
        <w:tab w:val="clear" w:pos="4513"/>
        <w:tab w:val="clear" w:pos="9027"/>
      </w:tabs>
      <w:jc w:val="center"/>
    </w:pPr>
  </w:p>
  <w:p w:rsidR="00A77749" w:rsidRPr="00A77749" w:rsidRDefault="00A77749" w:rsidP="00A77749">
    <w:pPr>
      <w:pStyle w:val="En-tte"/>
      <w:pBdr>
        <w:bottom w:val="single" w:sz="4" w:space="1" w:color="auto"/>
      </w:pBdr>
      <w:tabs>
        <w:tab w:val="clear" w:pos="4513"/>
        <w:tab w:val="clear" w:pos="9027"/>
      </w:tabs>
      <w:jc w:val="center"/>
    </w:pPr>
    <w:r w:rsidRPr="00A77749">
      <w:t xml:space="preserve">- </w:t>
    </w:r>
    <w:r w:rsidRPr="00A77749">
      <w:fldChar w:fldCharType="begin"/>
    </w:r>
    <w:r w:rsidRPr="00A77749">
      <w:instrText xml:space="preserve"> PAGE </w:instrText>
    </w:r>
    <w:r w:rsidRPr="00A77749">
      <w:fldChar w:fldCharType="separate"/>
    </w:r>
    <w:r w:rsidR="00412999">
      <w:rPr>
        <w:noProof/>
      </w:rPr>
      <w:t>3</w:t>
    </w:r>
    <w:r w:rsidRPr="00A77749">
      <w:fldChar w:fldCharType="end"/>
    </w:r>
    <w:r w:rsidRPr="00A77749">
      <w:t xml:space="preserve"> -</w:t>
    </w:r>
  </w:p>
  <w:p w:rsidR="00AD0FDA" w:rsidRPr="00A77749" w:rsidRDefault="00A2779F" w:rsidP="00A77749">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672E6" w:rsidTr="00B13A58">
      <w:trPr>
        <w:trHeight w:val="240"/>
        <w:jc w:val="center"/>
      </w:trPr>
      <w:tc>
        <w:tcPr>
          <w:tcW w:w="3794" w:type="dxa"/>
          <w:shd w:val="clear" w:color="auto" w:fill="FFFFFF"/>
          <w:tcMar>
            <w:left w:w="108" w:type="dxa"/>
            <w:right w:w="108" w:type="dxa"/>
          </w:tcMar>
          <w:vAlign w:val="center"/>
        </w:tcPr>
        <w:p w:rsidR="00ED54E0" w:rsidRPr="00AD0FDA" w:rsidRDefault="00A2779F"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A77749" w:rsidP="0081481D">
          <w:pPr>
            <w:jc w:val="right"/>
            <w:rPr>
              <w:b/>
              <w:color w:val="FF0000"/>
              <w:szCs w:val="16"/>
            </w:rPr>
          </w:pPr>
          <w:r>
            <w:rPr>
              <w:b/>
              <w:color w:val="FF0000"/>
              <w:szCs w:val="16"/>
            </w:rPr>
            <w:t xml:space="preserve"> </w:t>
          </w:r>
        </w:p>
      </w:tc>
    </w:tr>
    <w:bookmarkEnd w:id="22"/>
    <w:tr w:rsidR="001672E6" w:rsidTr="00B13A58">
      <w:trPr>
        <w:trHeight w:val="213"/>
        <w:jc w:val="center"/>
      </w:trPr>
      <w:tc>
        <w:tcPr>
          <w:tcW w:w="3794" w:type="dxa"/>
          <w:vMerge w:val="restart"/>
          <w:shd w:val="clear" w:color="auto" w:fill="FFFFFF"/>
          <w:tcMar>
            <w:left w:w="0" w:type="dxa"/>
            <w:right w:w="0" w:type="dxa"/>
          </w:tcMar>
        </w:tcPr>
        <w:p w:rsidR="00ED54E0" w:rsidRPr="00AD0FDA" w:rsidRDefault="000013A2"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A2779F" w:rsidP="0081481D">
          <w:pPr>
            <w:jc w:val="right"/>
            <w:rPr>
              <w:b/>
              <w:szCs w:val="16"/>
            </w:rPr>
          </w:pPr>
        </w:p>
      </w:tc>
    </w:tr>
    <w:tr w:rsidR="001672E6" w:rsidTr="00B13A58">
      <w:trPr>
        <w:trHeight w:val="868"/>
        <w:jc w:val="center"/>
      </w:trPr>
      <w:tc>
        <w:tcPr>
          <w:tcW w:w="3794" w:type="dxa"/>
          <w:vMerge/>
          <w:shd w:val="clear" w:color="auto" w:fill="FFFFFF"/>
          <w:tcMar>
            <w:left w:w="108" w:type="dxa"/>
            <w:right w:w="108" w:type="dxa"/>
          </w:tcMar>
        </w:tcPr>
        <w:p w:rsidR="00ED54E0" w:rsidRPr="00AD0FDA" w:rsidRDefault="00A2779F" w:rsidP="0081481D">
          <w:pPr>
            <w:jc w:val="left"/>
            <w:rPr>
              <w:noProof/>
              <w:lang w:eastAsia="en-GB"/>
            </w:rPr>
          </w:pPr>
        </w:p>
      </w:tc>
      <w:tc>
        <w:tcPr>
          <w:tcW w:w="5448" w:type="dxa"/>
          <w:gridSpan w:val="2"/>
          <w:shd w:val="clear" w:color="auto" w:fill="FFFFFF"/>
          <w:tcMar>
            <w:left w:w="108" w:type="dxa"/>
            <w:right w:w="108" w:type="dxa"/>
          </w:tcMar>
        </w:tcPr>
        <w:p w:rsidR="00A77749" w:rsidRDefault="00A77749" w:rsidP="0081481D">
          <w:pPr>
            <w:jc w:val="right"/>
            <w:rPr>
              <w:b/>
              <w:szCs w:val="16"/>
            </w:rPr>
          </w:pPr>
          <w:bookmarkStart w:id="23" w:name="bmkSymbols"/>
          <w:r>
            <w:rPr>
              <w:b/>
              <w:szCs w:val="16"/>
            </w:rPr>
            <w:t>G/SPS/N/</w:t>
          </w:r>
          <w:proofErr w:type="spellStart"/>
          <w:r>
            <w:rPr>
              <w:b/>
              <w:szCs w:val="16"/>
            </w:rPr>
            <w:t>SGP</w:t>
          </w:r>
          <w:proofErr w:type="spellEnd"/>
          <w:r>
            <w:rPr>
              <w:b/>
              <w:szCs w:val="16"/>
            </w:rPr>
            <w:t>/59/Add.1</w:t>
          </w:r>
        </w:p>
        <w:bookmarkEnd w:id="23"/>
        <w:p w:rsidR="00AD0FDA" w:rsidRPr="00934B4C" w:rsidRDefault="00A2779F" w:rsidP="0081481D">
          <w:pPr>
            <w:jc w:val="right"/>
            <w:rPr>
              <w:b/>
              <w:szCs w:val="16"/>
            </w:rPr>
          </w:pPr>
        </w:p>
      </w:tc>
    </w:tr>
    <w:tr w:rsidR="001672E6" w:rsidTr="00B13A58">
      <w:trPr>
        <w:trHeight w:val="240"/>
        <w:jc w:val="center"/>
      </w:trPr>
      <w:tc>
        <w:tcPr>
          <w:tcW w:w="3794" w:type="dxa"/>
          <w:vMerge/>
          <w:shd w:val="clear" w:color="auto" w:fill="FFFFFF"/>
          <w:tcMar>
            <w:left w:w="108" w:type="dxa"/>
            <w:right w:w="108" w:type="dxa"/>
          </w:tcMar>
          <w:vAlign w:val="center"/>
        </w:tcPr>
        <w:p w:rsidR="00ED54E0" w:rsidRPr="00AD0FDA" w:rsidRDefault="00A2779F" w:rsidP="0081481D"/>
      </w:tc>
      <w:tc>
        <w:tcPr>
          <w:tcW w:w="5448" w:type="dxa"/>
          <w:gridSpan w:val="2"/>
          <w:shd w:val="clear" w:color="auto" w:fill="FFFFFF"/>
          <w:tcMar>
            <w:left w:w="108" w:type="dxa"/>
            <w:right w:w="108" w:type="dxa"/>
          </w:tcMar>
          <w:vAlign w:val="center"/>
        </w:tcPr>
        <w:p w:rsidR="00ED54E0" w:rsidRPr="00AD0FDA" w:rsidRDefault="00A2779F" w:rsidP="0081481D">
          <w:pPr>
            <w:jc w:val="right"/>
            <w:rPr>
              <w:szCs w:val="16"/>
            </w:rPr>
          </w:pPr>
          <w:bookmarkStart w:id="24" w:name="bmkDate"/>
          <w:bookmarkStart w:id="25" w:name="spsDateDistribution"/>
          <w:bookmarkEnd w:id="24"/>
          <w:bookmarkEnd w:id="25"/>
          <w:r>
            <w:rPr>
              <w:szCs w:val="16"/>
            </w:rPr>
            <w:t>22 November 2018</w:t>
          </w:r>
          <w:bookmarkStart w:id="26" w:name="_GoBack"/>
          <w:bookmarkEnd w:id="26"/>
        </w:p>
      </w:tc>
    </w:tr>
    <w:tr w:rsidR="001672E6"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0013A2" w:rsidP="0081481D">
          <w:pPr>
            <w:jc w:val="left"/>
            <w:rPr>
              <w:b/>
            </w:rPr>
          </w:pPr>
          <w:bookmarkStart w:id="27" w:name="bmkSerial"/>
          <w:r w:rsidRPr="00934B4C">
            <w:rPr>
              <w:color w:val="FF0000"/>
              <w:szCs w:val="16"/>
            </w:rPr>
            <w:t>(</w:t>
          </w:r>
          <w:bookmarkStart w:id="28" w:name="spsSerialNumber"/>
          <w:bookmarkEnd w:id="28"/>
          <w:r w:rsidR="00A2779F">
            <w:rPr>
              <w:color w:val="FF0000"/>
              <w:szCs w:val="16"/>
            </w:rPr>
            <w:t>18-7341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AD0FDA" w:rsidRDefault="000013A2"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A2779F">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A2779F">
            <w:rPr>
              <w:bCs/>
              <w:noProof/>
              <w:szCs w:val="16"/>
            </w:rPr>
            <w:t>2</w:t>
          </w:r>
          <w:r w:rsidRPr="00934B4C">
            <w:rPr>
              <w:bCs/>
              <w:szCs w:val="16"/>
            </w:rPr>
            <w:fldChar w:fldCharType="end"/>
          </w:r>
          <w:bookmarkEnd w:id="29"/>
        </w:p>
      </w:tc>
    </w:tr>
    <w:tr w:rsidR="001672E6"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A7774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A77749" w:rsidP="00F342EB">
          <w:pPr>
            <w:jc w:val="right"/>
            <w:rPr>
              <w:bCs/>
              <w:szCs w:val="18"/>
            </w:rPr>
          </w:pPr>
          <w:bookmarkStart w:id="31" w:name="bmkLanguage"/>
          <w:r>
            <w:rPr>
              <w:bCs/>
              <w:szCs w:val="18"/>
            </w:rPr>
            <w:t>Original: English</w:t>
          </w:r>
          <w:bookmarkEnd w:id="31"/>
        </w:p>
      </w:tc>
    </w:tr>
  </w:tbl>
  <w:p w:rsidR="00ED54E0" w:rsidRPr="00934B4C" w:rsidRDefault="00A277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BD40D66">
      <w:start w:val="1"/>
      <w:numFmt w:val="decimal"/>
      <w:pStyle w:val="SummaryText"/>
      <w:lvlText w:val="%1."/>
      <w:lvlJc w:val="left"/>
      <w:pPr>
        <w:ind w:left="360" w:hanging="360"/>
      </w:pPr>
    </w:lvl>
    <w:lvl w:ilvl="1" w:tplc="5F14F8D8" w:tentative="1">
      <w:start w:val="1"/>
      <w:numFmt w:val="lowerLetter"/>
      <w:lvlText w:val="%2."/>
      <w:lvlJc w:val="left"/>
      <w:pPr>
        <w:ind w:left="1080" w:hanging="360"/>
      </w:pPr>
    </w:lvl>
    <w:lvl w:ilvl="2" w:tplc="331AF4CA" w:tentative="1">
      <w:start w:val="1"/>
      <w:numFmt w:val="lowerRoman"/>
      <w:lvlText w:val="%3."/>
      <w:lvlJc w:val="right"/>
      <w:pPr>
        <w:ind w:left="1800" w:hanging="180"/>
      </w:pPr>
    </w:lvl>
    <w:lvl w:ilvl="3" w:tplc="88DC0478" w:tentative="1">
      <w:start w:val="1"/>
      <w:numFmt w:val="decimal"/>
      <w:lvlText w:val="%4."/>
      <w:lvlJc w:val="left"/>
      <w:pPr>
        <w:ind w:left="2520" w:hanging="360"/>
      </w:pPr>
    </w:lvl>
    <w:lvl w:ilvl="4" w:tplc="BB0E9D0C" w:tentative="1">
      <w:start w:val="1"/>
      <w:numFmt w:val="lowerLetter"/>
      <w:lvlText w:val="%5."/>
      <w:lvlJc w:val="left"/>
      <w:pPr>
        <w:ind w:left="3240" w:hanging="360"/>
      </w:pPr>
    </w:lvl>
    <w:lvl w:ilvl="5" w:tplc="43AC85AE" w:tentative="1">
      <w:start w:val="1"/>
      <w:numFmt w:val="lowerRoman"/>
      <w:lvlText w:val="%6."/>
      <w:lvlJc w:val="right"/>
      <w:pPr>
        <w:ind w:left="3960" w:hanging="180"/>
      </w:pPr>
    </w:lvl>
    <w:lvl w:ilvl="6" w:tplc="09869B9A" w:tentative="1">
      <w:start w:val="1"/>
      <w:numFmt w:val="decimal"/>
      <w:lvlText w:val="%7."/>
      <w:lvlJc w:val="left"/>
      <w:pPr>
        <w:ind w:left="4680" w:hanging="360"/>
      </w:pPr>
    </w:lvl>
    <w:lvl w:ilvl="7" w:tplc="E9DE7EC8" w:tentative="1">
      <w:start w:val="1"/>
      <w:numFmt w:val="lowerLetter"/>
      <w:lvlText w:val="%8."/>
      <w:lvlJc w:val="left"/>
      <w:pPr>
        <w:ind w:left="5400" w:hanging="360"/>
      </w:pPr>
    </w:lvl>
    <w:lvl w:ilvl="8" w:tplc="45949492" w:tentative="1">
      <w:start w:val="1"/>
      <w:numFmt w:val="lowerRoman"/>
      <w:lvlText w:val="%9."/>
      <w:lvlJc w:val="right"/>
      <w:pPr>
        <w:ind w:left="6120" w:hanging="180"/>
      </w:pPr>
    </w:lvl>
  </w:abstractNum>
  <w:abstractNum w:abstractNumId="14" w15:restartNumberingAfterBreak="0">
    <w:nsid w:val="7AE86EAB"/>
    <w:multiLevelType w:val="hybridMultilevel"/>
    <w:tmpl w:val="DD549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E6"/>
    <w:rsid w:val="000013A2"/>
    <w:rsid w:val="001672E6"/>
    <w:rsid w:val="00297D74"/>
    <w:rsid w:val="003E6C10"/>
    <w:rsid w:val="00412999"/>
    <w:rsid w:val="00833D65"/>
    <w:rsid w:val="00837DEC"/>
    <w:rsid w:val="009B2C88"/>
    <w:rsid w:val="00A2779F"/>
    <w:rsid w:val="00A77749"/>
    <w:rsid w:val="00B61C1E"/>
    <w:rsid w:val="00B73DF3"/>
    <w:rsid w:val="00C01969"/>
    <w:rsid w:val="00C41404"/>
    <w:rsid w:val="00D219DA"/>
    <w:rsid w:val="00E32B66"/>
    <w:rsid w:val="00F1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D1A0"/>
  <w15:docId w15:val="{9D30D204-485C-49F9-B359-CA479DFE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Mentionnonrsolue">
    <w:name w:val="Unresolved Mention"/>
    <w:basedOn w:val="Policepardfaut"/>
    <w:uiPriority w:val="99"/>
    <w:rsid w:val="000013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ava.gov.sg/legisl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each.gov.sg/participate/public-consultation/agrifood-veterinary-authority-of-singapore/regulatory-programmes/proposed-amendments-to-the-food-regulations-regarding-microbiological-standards-for-rte-foo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08E7E-CC10-4FC1-9AB6-B2D2B640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602</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Laverriere, Chantal</cp:lastModifiedBy>
  <cp:revision>15</cp:revision>
  <dcterms:created xsi:type="dcterms:W3CDTF">2018-11-15T09:41:00Z</dcterms:created>
  <dcterms:modified xsi:type="dcterms:W3CDTF">2018-11-22T07:47:00Z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G/SPS/N/SGP/59/Add.1</vt:lpwstr>
  </property>
</Properties>
</file>