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3586" w14:textId="77777777" w:rsidR="00EA4725" w:rsidRPr="00441372" w:rsidRDefault="00564D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2AC3" w14:paraId="5A8377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2131C5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7F0F1B" w14:textId="77777777" w:rsidR="00EA4725" w:rsidRPr="00441372" w:rsidRDefault="00564D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A737606" w14:textId="77777777" w:rsidR="00EA4725" w:rsidRPr="00441372" w:rsidRDefault="00564D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2AC3" w14:paraId="42809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6BA39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2E038" w14:textId="77777777" w:rsidR="00EA4725" w:rsidRPr="00441372" w:rsidRDefault="00564D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</w:t>
            </w:r>
            <w:bookmarkStart w:id="5" w:name="sps2a"/>
            <w:bookmarkEnd w:id="5"/>
          </w:p>
        </w:tc>
      </w:tr>
      <w:tr w:rsidR="00082AC3" w14:paraId="59EC80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A44D7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FDC20" w14:textId="77777777" w:rsidR="00EA4725" w:rsidRPr="00441372" w:rsidRDefault="00564D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082AC3" w14:paraId="2A9A2A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31184" w14:textId="77777777" w:rsidR="00EA4725" w:rsidRPr="00441372" w:rsidRDefault="00564D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3E558" w14:textId="77777777" w:rsidR="00EA4725" w:rsidRPr="00441372" w:rsidRDefault="00564D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424C7D" w14:textId="77777777" w:rsidR="00EA4725" w:rsidRPr="00441372" w:rsidRDefault="00564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7D4A59" w14:textId="77777777" w:rsidR="00EA4725" w:rsidRPr="00441372" w:rsidRDefault="00564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2AC3" w14:paraId="3A6111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6C93C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2F98F" w14:textId="77777777" w:rsidR="00EA4725" w:rsidRPr="00441372" w:rsidRDefault="00564D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897, 17 August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4D6CB90B" w14:textId="77777777" w:rsidR="00EA4725" w:rsidRPr="00441372" w:rsidRDefault="00564DB8" w:rsidP="00BC2755">
            <w:pPr>
              <w:spacing w:after="120"/>
            </w:pPr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http://portal.anvisa.gov.br/documents/10181/5993708/CONSULTA+P%C3%9ABLICA+N+897+GEARE.pdf/3b343d38-980a-4953-bb5c-7e9999aeb171</w:t>
              </w:r>
            </w:hyperlink>
          </w:p>
          <w:p w14:paraId="5F03A985" w14:textId="77777777" w:rsidR="00F17BB4" w:rsidRPr="00441372" w:rsidRDefault="00564DB8" w:rsidP="00441372">
            <w:r w:rsidRPr="00441372">
              <w:t xml:space="preserve">Comment form: </w:t>
            </w:r>
          </w:p>
          <w:p w14:paraId="2A8B3AF2" w14:textId="424E87AF" w:rsidR="00F17BB4" w:rsidRPr="00441372" w:rsidRDefault="00564DB8" w:rsidP="00441372">
            <w:pPr>
              <w:spacing w:after="120"/>
            </w:pPr>
            <w:r w:rsidRPr="00070DA0">
              <w:t>http://formsus.datasus.gov.br/site/formulario.php?id_aplicacao=58863</w:t>
            </w:r>
            <w:bookmarkStart w:id="21" w:name="sps5d"/>
            <w:bookmarkEnd w:id="21"/>
          </w:p>
        </w:tc>
      </w:tr>
      <w:tr w:rsidR="00082AC3" w14:paraId="580E39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5A52A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E02B0" w14:textId="77777777" w:rsidR="00EA4725" w:rsidRPr="00441372" w:rsidRDefault="00564DB8" w:rsidP="00810D4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 proposes the revision of the Resolution</w:t>
            </w:r>
            <w:r w:rsidR="00BC2755">
              <w:t> - </w:t>
            </w:r>
            <w:r w:rsidRPr="0065690F">
              <w:t>RDC number 105, 19 May 1999 - which establishes technical requirements for packages and plastic containers in contact with food;</w:t>
            </w:r>
            <w:r w:rsidR="00BC2755">
              <w:t xml:space="preserve"> </w:t>
            </w:r>
            <w:r w:rsidRPr="0065690F">
              <w:t>the Resolution - RDC number 56, 16 November 2012 - which establishes the positive list of monomers, starting substances, and polymers authorized in the manufacturing of</w:t>
            </w:r>
            <w:r w:rsidR="00BC2755">
              <w:t xml:space="preserve"> </w:t>
            </w:r>
            <w:r w:rsidRPr="0065690F">
              <w:t>packages and plastic containers in contact with food; and the Resolution - RDC number 88, 29 June 2016</w:t>
            </w:r>
            <w:r w:rsidR="00BC2755">
              <w:t> - </w:t>
            </w:r>
            <w:r w:rsidRPr="0065690F">
              <w:t>which establishes the materials, packages, and cellulosic materials destinated to enter in contact with food; in order to update the health requirements of material in contact with food.</w:t>
            </w:r>
          </w:p>
          <w:p w14:paraId="17BA1041" w14:textId="77777777" w:rsidR="00F17BB4" w:rsidRPr="0065690F" w:rsidRDefault="00564DB8" w:rsidP="00441372">
            <w:pPr>
              <w:spacing w:after="120"/>
            </w:pPr>
            <w:r w:rsidRPr="0065690F">
              <w:t>This Draft Resolution will be also notified to the TBT committee.</w:t>
            </w:r>
            <w:bookmarkStart w:id="23" w:name="sps6a"/>
            <w:bookmarkEnd w:id="23"/>
          </w:p>
        </w:tc>
      </w:tr>
      <w:tr w:rsidR="00082AC3" w14:paraId="2B5915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D0D93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E838A" w14:textId="77777777" w:rsidR="00EA4725" w:rsidRPr="00441372" w:rsidRDefault="00564D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2AC3" w14:paraId="5277E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618B0" w14:textId="77777777" w:rsidR="00EA4725" w:rsidRPr="00441372" w:rsidRDefault="00564D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DC161" w14:textId="77777777" w:rsidR="00EA4725" w:rsidRPr="00441372" w:rsidRDefault="00564DB8" w:rsidP="00A04B86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304482" w14:textId="77777777" w:rsidR="00EA4725" w:rsidRPr="00441372" w:rsidRDefault="00564DB8" w:rsidP="00A04B86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Standard for the Labelling of Prepackaged Foods</w:t>
            </w:r>
            <w:bookmarkEnd w:id="39"/>
          </w:p>
          <w:p w14:paraId="42C117C1" w14:textId="77777777" w:rsidR="00EA4725" w:rsidRPr="00441372" w:rsidRDefault="00564DB8" w:rsidP="00A04B86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B917E4" w14:textId="77777777" w:rsidR="00EA4725" w:rsidRPr="00441372" w:rsidRDefault="00564DB8" w:rsidP="00A04B86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D631F6" w14:textId="77777777" w:rsidR="00EA4725" w:rsidRPr="00441372" w:rsidRDefault="00564DB8" w:rsidP="00A04B86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4783AE" w14:textId="77777777" w:rsidR="00EA4725" w:rsidRPr="00441372" w:rsidRDefault="00564DB8" w:rsidP="00CF3199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9397D5" w14:textId="77777777" w:rsidR="00EA4725" w:rsidRPr="00441372" w:rsidRDefault="00564DB8" w:rsidP="00A04B86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349654" w14:textId="77777777" w:rsidR="00EA4725" w:rsidRPr="00441372" w:rsidRDefault="00564D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This draft resolution deviates from the General Standard for the Labelling of Prepackaged Foods, produced by Codex Alimentarius Commission. However, the Impact Assessment Report on Nutrition Labelling, available in Portuguese</w:t>
            </w:r>
            <w:r w:rsidR="00BC2755">
              <w:t> </w:t>
            </w:r>
            <w:r w:rsidRPr="0065690F">
              <w:t>in field 9 below, describes the scientific evidence in which the proposed regulation relies on.</w:t>
            </w:r>
            <w:bookmarkEnd w:id="54"/>
          </w:p>
        </w:tc>
      </w:tr>
      <w:tr w:rsidR="00082AC3" w14:paraId="5D1F96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91746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EC1ED" w14:textId="77777777" w:rsidR="00BC2755" w:rsidRDefault="00564DB8" w:rsidP="00A04B86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1DD297B6" w14:textId="77777777" w:rsidR="00BC2755" w:rsidRDefault="00564DB8" w:rsidP="00A04B86">
            <w:pPr>
              <w:pStyle w:val="ListParagraph"/>
              <w:numPr>
                <w:ilvl w:val="0"/>
                <w:numId w:val="16"/>
              </w:numPr>
              <w:ind w:left="436"/>
            </w:pPr>
            <w:r w:rsidRPr="0065690F">
              <w:t>Resolution - RDC number 105, 19 May 1999:</w:t>
            </w:r>
          </w:p>
          <w:p w14:paraId="3312E946" w14:textId="77777777" w:rsidR="00EA4725" w:rsidRPr="00441372" w:rsidRDefault="00AC2CAE" w:rsidP="00BC2755">
            <w:pPr>
              <w:pStyle w:val="ListParagraph"/>
              <w:spacing w:before="120"/>
              <w:ind w:left="436"/>
            </w:pPr>
            <w:hyperlink r:id="rId8" w:history="1">
              <w:r w:rsidR="00564DB8" w:rsidRPr="000B6A33">
                <w:rPr>
                  <w:rStyle w:val="Hyperlink"/>
                </w:rPr>
                <w:t>http://portal.anvisa.gov.br/documents/10181/2718376/RES_105_1999_COMP.pdf/35bc8b0b-8efb-4a66-b852-0e2d60ccc455</w:t>
              </w:r>
            </w:hyperlink>
          </w:p>
          <w:p w14:paraId="778BF932" w14:textId="77777777" w:rsidR="00BC2755" w:rsidRDefault="00564DB8" w:rsidP="00BC2755">
            <w:pPr>
              <w:pStyle w:val="ListParagraph"/>
              <w:numPr>
                <w:ilvl w:val="0"/>
                <w:numId w:val="16"/>
              </w:numPr>
              <w:spacing w:before="120"/>
              <w:ind w:left="436"/>
            </w:pPr>
            <w:r w:rsidRPr="0065690F">
              <w:t>Resolution - RDC number 56, 16 November 2012:</w:t>
            </w:r>
          </w:p>
          <w:p w14:paraId="4FE3DA0A" w14:textId="77777777" w:rsidR="00F17BB4" w:rsidRPr="0065690F" w:rsidRDefault="00AC2CAE" w:rsidP="00BC2755">
            <w:pPr>
              <w:pStyle w:val="ListParagraph"/>
              <w:spacing w:before="120"/>
              <w:ind w:left="436"/>
            </w:pPr>
            <w:hyperlink r:id="rId9" w:history="1">
              <w:r w:rsidR="00564DB8" w:rsidRPr="000B6A33">
                <w:rPr>
                  <w:rStyle w:val="Hyperlink"/>
                </w:rPr>
                <w:t>http://portal.anvisa.gov.br/documents/10181/4048184/RDC_56_2012_COMP.pdf/f203caaa-d5b4-4ac1-afc8-82f0bb13ffcb</w:t>
              </w:r>
            </w:hyperlink>
          </w:p>
          <w:p w14:paraId="73309A9B" w14:textId="77777777" w:rsidR="00BC2755" w:rsidRDefault="00564DB8" w:rsidP="00BC2755">
            <w:pPr>
              <w:pStyle w:val="ListParagraph"/>
              <w:numPr>
                <w:ilvl w:val="0"/>
                <w:numId w:val="16"/>
              </w:numPr>
              <w:spacing w:before="120"/>
              <w:ind w:left="436"/>
            </w:pPr>
            <w:r w:rsidRPr="0065690F">
              <w:t>Resolution - RDC number 88, 29 June 2016:</w:t>
            </w:r>
          </w:p>
          <w:p w14:paraId="2AA81882" w14:textId="77777777" w:rsidR="00F17BB4" w:rsidRPr="0065690F" w:rsidRDefault="00AC2CAE" w:rsidP="00BC2755">
            <w:pPr>
              <w:pStyle w:val="ListParagraph"/>
              <w:spacing w:before="120"/>
              <w:ind w:left="436"/>
            </w:pPr>
            <w:hyperlink r:id="rId10" w:history="1">
              <w:r w:rsidR="00564DB8" w:rsidRPr="000B6A33">
                <w:rPr>
                  <w:rStyle w:val="Hyperlink"/>
                </w:rPr>
                <w:t>http://portal.anvisa.gov.br/documents/10181/2883670/%281%29RDC_88_2016.pdf/b6eb3585-1294-42a5-9b01-69133446781f</w:t>
              </w:r>
            </w:hyperlink>
          </w:p>
          <w:p w14:paraId="0DC0F1CC" w14:textId="77777777" w:rsidR="00BC2755" w:rsidRDefault="00564DB8" w:rsidP="00BC2755">
            <w:pPr>
              <w:pStyle w:val="ListParagraph"/>
              <w:numPr>
                <w:ilvl w:val="0"/>
                <w:numId w:val="16"/>
              </w:numPr>
              <w:spacing w:before="120"/>
              <w:ind w:left="436"/>
            </w:pPr>
            <w:r w:rsidRPr="0065690F">
              <w:t>Impact Assessment Report:</w:t>
            </w:r>
          </w:p>
          <w:p w14:paraId="3E08C5EC" w14:textId="77777777" w:rsidR="00F17BB4" w:rsidRPr="0065690F" w:rsidRDefault="00AC2CAE" w:rsidP="00BC2755">
            <w:pPr>
              <w:pStyle w:val="ListParagraph"/>
              <w:spacing w:before="120"/>
              <w:ind w:left="436"/>
            </w:pPr>
            <w:hyperlink r:id="rId11" w:history="1">
              <w:r w:rsidR="00564DB8" w:rsidRPr="000B6A33">
                <w:rPr>
                  <w:rStyle w:val="Hyperlink"/>
                </w:rPr>
                <w:t>http://portal.anvisa.gov.br/documents/10181/5993708/Relat%C3%B3rio+de+Mapeamento+de+Impacto.pdf/5a6a74b8-b972-4d96-b33f-8b85ff8649ca</w:t>
              </w:r>
            </w:hyperlink>
          </w:p>
          <w:p w14:paraId="719DCC04" w14:textId="77777777" w:rsidR="00BC2755" w:rsidRDefault="00564DB8" w:rsidP="00BC275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Justification for the Draft Resolution:</w:t>
            </w:r>
          </w:p>
          <w:p w14:paraId="4DA8BB20" w14:textId="77777777" w:rsidR="00F17BB4" w:rsidRPr="0065690F" w:rsidRDefault="00AC2CAE" w:rsidP="00BC2755">
            <w:pPr>
              <w:pStyle w:val="ListParagraph"/>
              <w:spacing w:before="120" w:after="120"/>
              <w:ind w:left="436"/>
            </w:pPr>
            <w:hyperlink r:id="rId12" w:history="1">
              <w:r w:rsidR="00564DB8" w:rsidRPr="000B6A33">
                <w:rPr>
                  <w:rStyle w:val="Hyperlink"/>
                </w:rPr>
                <w:t>http://portal.anvisa.gov.br/documents/10181/5993708/Justificativa+regulat%C3%B3ria.pdf/135d31dd-bb33-4007-80e9-baa96b0634c7</w:t>
              </w:r>
            </w:hyperlink>
            <w:bookmarkStart w:id="56" w:name="sps9a"/>
            <w:bookmarkStart w:id="57" w:name="sps9b"/>
            <w:bookmarkEnd w:id="56"/>
            <w:bookmarkEnd w:id="57"/>
          </w:p>
        </w:tc>
      </w:tr>
      <w:tr w:rsidR="00082AC3" w14:paraId="6D4C95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467CD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EE6AF" w14:textId="77777777" w:rsidR="00EA4725" w:rsidRPr="00441372" w:rsidRDefault="00564D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59" w:name="sps10a"/>
            <w:bookmarkEnd w:id="59"/>
          </w:p>
          <w:p w14:paraId="15049ECB" w14:textId="77777777" w:rsidR="00EA4725" w:rsidRPr="00441372" w:rsidRDefault="00564D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082AC3" w14:paraId="4FCCEA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810EE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E3BB9" w14:textId="77777777" w:rsidR="00EA4725" w:rsidRPr="00441372" w:rsidRDefault="00564D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10560A11" w14:textId="77777777" w:rsidR="00EA4725" w:rsidRPr="00441372" w:rsidRDefault="00564D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2AC3" w14:paraId="4B2C21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70658" w14:textId="77777777" w:rsidR="00EA4725" w:rsidRPr="00441372" w:rsidRDefault="00564D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AFF50" w14:textId="77777777" w:rsidR="00EA4725" w:rsidRPr="00441372" w:rsidRDefault="00564D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October 2020</w:t>
            </w:r>
            <w:bookmarkEnd w:id="72"/>
          </w:p>
          <w:p w14:paraId="44B17363" w14:textId="77777777" w:rsidR="00EA4725" w:rsidRPr="00441372" w:rsidRDefault="00564D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A466D8" w14:textId="77777777" w:rsidR="00F17BB4" w:rsidRPr="00BC2755" w:rsidRDefault="00564DB8" w:rsidP="00441372">
            <w:pPr>
              <w:rPr>
                <w:lang w:val="fr-CH"/>
              </w:rPr>
            </w:pPr>
            <w:r w:rsidRPr="00BC2755">
              <w:rPr>
                <w:lang w:val="fr-CH"/>
              </w:rPr>
              <w:t>Assessoria de Assuntos Internacionais - AINTE</w:t>
            </w:r>
          </w:p>
          <w:p w14:paraId="4C0A4A0E" w14:textId="77777777" w:rsidR="00F17BB4" w:rsidRPr="00BC2755" w:rsidRDefault="00564DB8" w:rsidP="00441372">
            <w:pPr>
              <w:rPr>
                <w:lang w:val="fr-CH"/>
              </w:rPr>
            </w:pPr>
            <w:r w:rsidRPr="00BC2755">
              <w:rPr>
                <w:lang w:val="fr-CH"/>
              </w:rPr>
              <w:t>International Affairs Office</w:t>
            </w:r>
          </w:p>
          <w:p w14:paraId="41C7CFE8" w14:textId="77777777" w:rsidR="00F17BB4" w:rsidRPr="00BC2755" w:rsidRDefault="00564DB8" w:rsidP="00441372">
            <w:pPr>
              <w:rPr>
                <w:lang w:val="es-ES"/>
              </w:rPr>
            </w:pPr>
            <w:r w:rsidRPr="00BC2755">
              <w:rPr>
                <w:lang w:val="es-ES"/>
              </w:rPr>
              <w:t>Agência Nacional de Vigilância Sanitária - Anvisa</w:t>
            </w:r>
          </w:p>
          <w:p w14:paraId="297FC270" w14:textId="77777777" w:rsidR="00F17BB4" w:rsidRPr="0065690F" w:rsidRDefault="00564DB8" w:rsidP="00441372">
            <w:r w:rsidRPr="0065690F">
              <w:t>Brazilian Health Regulatory Agency</w:t>
            </w:r>
          </w:p>
          <w:p w14:paraId="2552FD49" w14:textId="77777777" w:rsidR="00F17BB4" w:rsidRPr="0065690F" w:rsidRDefault="00564DB8" w:rsidP="00441372">
            <w:r w:rsidRPr="0065690F">
              <w:t>Tel: +(5561) 3462 5402/5404/5406</w:t>
            </w:r>
          </w:p>
          <w:p w14:paraId="7BCB8EA4" w14:textId="77777777" w:rsidR="00F17BB4" w:rsidRPr="0065690F" w:rsidRDefault="00564DB8" w:rsidP="00441372">
            <w:pPr>
              <w:spacing w:after="120"/>
            </w:pPr>
            <w:r w:rsidRPr="0065690F">
              <w:t xml:space="preserve">E-mail: </w:t>
            </w:r>
            <w:hyperlink r:id="rId13" w:history="1">
              <w:r w:rsidR="00A04B86" w:rsidRPr="000B6A33">
                <w:rPr>
                  <w:rStyle w:val="Hyperlink"/>
                </w:rPr>
                <w:t>rel@anvisa.gov.br</w:t>
              </w:r>
            </w:hyperlink>
            <w:bookmarkStart w:id="79" w:name="sps12d"/>
            <w:bookmarkEnd w:id="79"/>
            <w:r w:rsidR="00A04B86">
              <w:t xml:space="preserve"> </w:t>
            </w:r>
          </w:p>
        </w:tc>
      </w:tr>
      <w:tr w:rsidR="00082AC3" w14:paraId="2EF152D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0C9DAE" w14:textId="77777777" w:rsidR="00EA4725" w:rsidRPr="00441372" w:rsidRDefault="00564D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0A190B" w14:textId="77777777" w:rsidR="00EA4725" w:rsidRPr="00441372" w:rsidRDefault="00564D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06F8627" w14:textId="77777777" w:rsidR="00EA4725" w:rsidRPr="00BC2755" w:rsidRDefault="00564DB8" w:rsidP="00F3021D">
            <w:pPr>
              <w:keepNext/>
              <w:keepLines/>
              <w:rPr>
                <w:bCs/>
                <w:lang w:val="fr-CH"/>
              </w:rPr>
            </w:pPr>
            <w:r w:rsidRPr="00BC2755">
              <w:rPr>
                <w:bCs/>
                <w:lang w:val="fr-CH"/>
              </w:rPr>
              <w:t>Assessoria de Assuntos Internacionais - AINTE</w:t>
            </w:r>
          </w:p>
          <w:p w14:paraId="417A40C3" w14:textId="77777777" w:rsidR="00EA4725" w:rsidRPr="00BC2755" w:rsidRDefault="00564DB8" w:rsidP="00F3021D">
            <w:pPr>
              <w:keepNext/>
              <w:keepLines/>
              <w:rPr>
                <w:bCs/>
                <w:lang w:val="fr-CH"/>
              </w:rPr>
            </w:pPr>
            <w:r w:rsidRPr="00BC2755">
              <w:rPr>
                <w:bCs/>
                <w:lang w:val="fr-CH"/>
              </w:rPr>
              <w:t>International Affairs Office</w:t>
            </w:r>
          </w:p>
          <w:p w14:paraId="0A135455" w14:textId="77777777" w:rsidR="00EA4725" w:rsidRPr="00BC2755" w:rsidRDefault="00564DB8" w:rsidP="00F3021D">
            <w:pPr>
              <w:keepNext/>
              <w:keepLines/>
              <w:rPr>
                <w:bCs/>
                <w:lang w:val="es-ES"/>
              </w:rPr>
            </w:pPr>
            <w:r w:rsidRPr="00BC2755">
              <w:rPr>
                <w:bCs/>
                <w:lang w:val="es-ES"/>
              </w:rPr>
              <w:t>Agência Nacional de Vigilância Sanitária - Anvisa</w:t>
            </w:r>
          </w:p>
          <w:p w14:paraId="2296EC0A" w14:textId="77777777" w:rsidR="00EA4725" w:rsidRPr="0065690F" w:rsidRDefault="00564D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12EA0717" w14:textId="77777777" w:rsidR="00EA4725" w:rsidRPr="0065690F" w:rsidRDefault="00564D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 5402/5404/5406</w:t>
            </w:r>
          </w:p>
          <w:p w14:paraId="371EAD76" w14:textId="77777777" w:rsidR="00EA4725" w:rsidRPr="0065690F" w:rsidRDefault="00564DB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4" w:history="1">
              <w:r w:rsidR="00A04B86" w:rsidRPr="000B6A33">
                <w:rPr>
                  <w:rStyle w:val="Hyperlink"/>
                  <w:bCs/>
                </w:rPr>
                <w:t>rel@anvisa.gov.br</w:t>
              </w:r>
            </w:hyperlink>
            <w:bookmarkStart w:id="86" w:name="sps13c"/>
            <w:bookmarkEnd w:id="86"/>
            <w:r w:rsidR="00A04B86">
              <w:rPr>
                <w:bCs/>
              </w:rPr>
              <w:t xml:space="preserve"> </w:t>
            </w:r>
          </w:p>
        </w:tc>
      </w:tr>
    </w:tbl>
    <w:p w14:paraId="7B050807" w14:textId="77777777" w:rsidR="007141CF" w:rsidRPr="00441372" w:rsidRDefault="007141CF" w:rsidP="00441372"/>
    <w:sectPr w:rsidR="007141CF" w:rsidRPr="00441372" w:rsidSect="00BC27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549E" w14:textId="77777777" w:rsidR="00A51A89" w:rsidRDefault="00564DB8">
      <w:r>
        <w:separator/>
      </w:r>
    </w:p>
  </w:endnote>
  <w:endnote w:type="continuationSeparator" w:id="0">
    <w:p w14:paraId="6009E015" w14:textId="77777777" w:rsidR="00A51A89" w:rsidRDefault="0056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E3D7" w14:textId="77777777" w:rsidR="00EA4725" w:rsidRPr="00BC2755" w:rsidRDefault="00564DB8" w:rsidP="00BC27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DFFC" w14:textId="77777777" w:rsidR="00EA4725" w:rsidRPr="00BC2755" w:rsidRDefault="00564DB8" w:rsidP="00BC27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E2F9" w14:textId="77777777" w:rsidR="00C863EB" w:rsidRPr="00441372" w:rsidRDefault="00564D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FEA4" w14:textId="77777777" w:rsidR="00A51A89" w:rsidRDefault="00564DB8">
      <w:r>
        <w:separator/>
      </w:r>
    </w:p>
  </w:footnote>
  <w:footnote w:type="continuationSeparator" w:id="0">
    <w:p w14:paraId="7A713346" w14:textId="77777777" w:rsidR="00A51A89" w:rsidRDefault="0056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E59E" w14:textId="77777777" w:rsidR="00BC2755" w:rsidRPr="00BC2755" w:rsidRDefault="00564DB8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755">
      <w:t>G/SPS/N/BRA/1760</w:t>
    </w:r>
  </w:p>
  <w:p w14:paraId="3979A1C2" w14:textId="77777777" w:rsidR="00BC2755" w:rsidRPr="00BC2755" w:rsidRDefault="00BC2755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3F74A2" w14:textId="77777777" w:rsidR="00BC2755" w:rsidRPr="00BC2755" w:rsidRDefault="00564DB8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755">
      <w:t xml:space="preserve">- </w:t>
    </w:r>
    <w:r w:rsidRPr="00BC2755">
      <w:fldChar w:fldCharType="begin"/>
    </w:r>
    <w:r w:rsidRPr="00BC2755">
      <w:instrText xml:space="preserve"> PAGE </w:instrText>
    </w:r>
    <w:r w:rsidRPr="00BC2755">
      <w:fldChar w:fldCharType="separate"/>
    </w:r>
    <w:r w:rsidRPr="00BC2755">
      <w:rPr>
        <w:noProof/>
      </w:rPr>
      <w:t>2</w:t>
    </w:r>
    <w:r w:rsidRPr="00BC2755">
      <w:fldChar w:fldCharType="end"/>
    </w:r>
    <w:r w:rsidRPr="00BC2755">
      <w:t xml:space="preserve"> -</w:t>
    </w:r>
  </w:p>
  <w:p w14:paraId="3F6A2692" w14:textId="77777777" w:rsidR="00EA4725" w:rsidRPr="00BC2755" w:rsidRDefault="00EA4725" w:rsidP="00BC27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E0CD" w14:textId="77777777" w:rsidR="00BC2755" w:rsidRPr="00BC2755" w:rsidRDefault="00564DB8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755">
      <w:t>G/SPS/N/BRA/1760</w:t>
    </w:r>
  </w:p>
  <w:p w14:paraId="54F7E98B" w14:textId="77777777" w:rsidR="00BC2755" w:rsidRPr="00BC2755" w:rsidRDefault="00BC2755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C767DE" w14:textId="77777777" w:rsidR="00BC2755" w:rsidRPr="00BC2755" w:rsidRDefault="00564DB8" w:rsidP="00BC27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2755">
      <w:t xml:space="preserve">- </w:t>
    </w:r>
    <w:r w:rsidRPr="00BC2755">
      <w:fldChar w:fldCharType="begin"/>
    </w:r>
    <w:r w:rsidRPr="00BC2755">
      <w:instrText xml:space="preserve"> PAGE </w:instrText>
    </w:r>
    <w:r w:rsidRPr="00BC2755">
      <w:fldChar w:fldCharType="separate"/>
    </w:r>
    <w:r w:rsidRPr="00BC2755">
      <w:rPr>
        <w:noProof/>
      </w:rPr>
      <w:t>2</w:t>
    </w:r>
    <w:r w:rsidRPr="00BC2755">
      <w:fldChar w:fldCharType="end"/>
    </w:r>
    <w:r w:rsidRPr="00BC2755">
      <w:t xml:space="preserve"> -</w:t>
    </w:r>
  </w:p>
  <w:p w14:paraId="0DE8787B" w14:textId="77777777" w:rsidR="00EA4725" w:rsidRPr="00BC2755" w:rsidRDefault="00EA4725" w:rsidP="00BC27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2AC3" w14:paraId="3665AF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C8A26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0AB243" w14:textId="77777777" w:rsidR="00ED54E0" w:rsidRPr="00EA4725" w:rsidRDefault="00564D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2AC3" w14:paraId="33F3D1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1132B9" w14:textId="77777777" w:rsidR="00ED54E0" w:rsidRPr="00EA4725" w:rsidRDefault="00564D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E81851A" wp14:editId="69DC0B0A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09787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D3C9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2AC3" w14:paraId="05C9F6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A852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6BB349" w14:textId="77777777" w:rsidR="00BC2755" w:rsidRDefault="00564DB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G/SPS/N/BRA/1760</w:t>
          </w:r>
          <w:bookmarkEnd w:id="88"/>
        </w:p>
      </w:tc>
    </w:tr>
    <w:tr w:rsidR="00082AC3" w14:paraId="4A4765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F28D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F1EA5" w14:textId="164826FB" w:rsidR="00ED54E0" w:rsidRPr="00EA4725" w:rsidRDefault="00E3444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</w:t>
          </w:r>
          <w:r w:rsidR="00564DB8">
            <w:rPr>
              <w:szCs w:val="16"/>
            </w:rPr>
            <w:t xml:space="preserve"> August 2020</w:t>
          </w:r>
        </w:p>
      </w:tc>
    </w:tr>
    <w:tr w:rsidR="00082AC3" w14:paraId="661245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FA23F" w14:textId="422DC9B5" w:rsidR="00ED54E0" w:rsidRPr="00EA4725" w:rsidRDefault="00564D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AC2CAE">
            <w:rPr>
              <w:color w:val="FF0000"/>
              <w:szCs w:val="16"/>
            </w:rPr>
            <w:t>5882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D0246D" w14:textId="77777777" w:rsidR="00ED54E0" w:rsidRPr="00EA4725" w:rsidRDefault="00564DB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82AC3" w14:paraId="54C5C3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B0D59" w14:textId="77777777" w:rsidR="00ED54E0" w:rsidRPr="00EA4725" w:rsidRDefault="00564DB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0C026C" w14:textId="77777777" w:rsidR="00ED54E0" w:rsidRPr="00441372" w:rsidRDefault="00564DB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1D981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17674"/>
    <w:multiLevelType w:val="hybridMultilevel"/>
    <w:tmpl w:val="458C6E44"/>
    <w:lvl w:ilvl="0" w:tplc="79540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90E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E5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2D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AC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0B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CA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B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C2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E6F167B"/>
    <w:multiLevelType w:val="hybridMultilevel"/>
    <w:tmpl w:val="B26A233C"/>
    <w:lvl w:ilvl="0" w:tplc="CCBE2F4E">
      <w:numFmt w:val="bullet"/>
      <w:lvlText w:val="-"/>
      <w:lvlJc w:val="left"/>
      <w:pPr>
        <w:ind w:left="984" w:hanging="624"/>
      </w:pPr>
      <w:rPr>
        <w:rFonts w:ascii="Verdana" w:eastAsia="Calibri" w:hAnsi="Verdana" w:cs="Times New Roman" w:hint="default"/>
      </w:rPr>
    </w:lvl>
    <w:lvl w:ilvl="1" w:tplc="41B05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03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CA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4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E6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C8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CA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AE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BF01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76B2FA" w:tentative="1">
      <w:start w:val="1"/>
      <w:numFmt w:val="lowerLetter"/>
      <w:lvlText w:val="%2."/>
      <w:lvlJc w:val="left"/>
      <w:pPr>
        <w:ind w:left="1080" w:hanging="360"/>
      </w:pPr>
    </w:lvl>
    <w:lvl w:ilvl="2" w:tplc="AF48DD36" w:tentative="1">
      <w:start w:val="1"/>
      <w:numFmt w:val="lowerRoman"/>
      <w:lvlText w:val="%3."/>
      <w:lvlJc w:val="right"/>
      <w:pPr>
        <w:ind w:left="1800" w:hanging="180"/>
      </w:pPr>
    </w:lvl>
    <w:lvl w:ilvl="3" w:tplc="22206B76" w:tentative="1">
      <w:start w:val="1"/>
      <w:numFmt w:val="decimal"/>
      <w:lvlText w:val="%4."/>
      <w:lvlJc w:val="left"/>
      <w:pPr>
        <w:ind w:left="2520" w:hanging="360"/>
      </w:pPr>
    </w:lvl>
    <w:lvl w:ilvl="4" w:tplc="21DEB8A4" w:tentative="1">
      <w:start w:val="1"/>
      <w:numFmt w:val="lowerLetter"/>
      <w:lvlText w:val="%5."/>
      <w:lvlJc w:val="left"/>
      <w:pPr>
        <w:ind w:left="3240" w:hanging="360"/>
      </w:pPr>
    </w:lvl>
    <w:lvl w:ilvl="5" w:tplc="17D84300" w:tentative="1">
      <w:start w:val="1"/>
      <w:numFmt w:val="lowerRoman"/>
      <w:lvlText w:val="%6."/>
      <w:lvlJc w:val="right"/>
      <w:pPr>
        <w:ind w:left="3960" w:hanging="180"/>
      </w:pPr>
    </w:lvl>
    <w:lvl w:ilvl="6" w:tplc="D496090A" w:tentative="1">
      <w:start w:val="1"/>
      <w:numFmt w:val="decimal"/>
      <w:lvlText w:val="%7."/>
      <w:lvlJc w:val="left"/>
      <w:pPr>
        <w:ind w:left="4680" w:hanging="360"/>
      </w:pPr>
    </w:lvl>
    <w:lvl w:ilvl="7" w:tplc="1FA41FCC" w:tentative="1">
      <w:start w:val="1"/>
      <w:numFmt w:val="lowerLetter"/>
      <w:lvlText w:val="%8."/>
      <w:lvlJc w:val="left"/>
      <w:pPr>
        <w:ind w:left="5400" w:hanging="360"/>
      </w:pPr>
    </w:lvl>
    <w:lvl w:ilvl="8" w:tplc="548AB1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0DA0"/>
    <w:rsid w:val="00082AC3"/>
    <w:rsid w:val="00084B3C"/>
    <w:rsid w:val="00092985"/>
    <w:rsid w:val="000A11E9"/>
    <w:rsid w:val="000A4945"/>
    <w:rsid w:val="000B31E1"/>
    <w:rsid w:val="000B6A3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4DB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D4D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B86"/>
    <w:rsid w:val="00A51A89"/>
    <w:rsid w:val="00A52B02"/>
    <w:rsid w:val="00A6057A"/>
    <w:rsid w:val="00A62304"/>
    <w:rsid w:val="00A74017"/>
    <w:rsid w:val="00AA332C"/>
    <w:rsid w:val="00AC27F8"/>
    <w:rsid w:val="00AC2CAE"/>
    <w:rsid w:val="00AD4C72"/>
    <w:rsid w:val="00AE057B"/>
    <w:rsid w:val="00AE2AEE"/>
    <w:rsid w:val="00B00276"/>
    <w:rsid w:val="00B230EC"/>
    <w:rsid w:val="00B367FB"/>
    <w:rsid w:val="00B52738"/>
    <w:rsid w:val="00B56EDC"/>
    <w:rsid w:val="00B86A03"/>
    <w:rsid w:val="00B94A75"/>
    <w:rsid w:val="00BB1F84"/>
    <w:rsid w:val="00BC035A"/>
    <w:rsid w:val="00BC2755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3199"/>
    <w:rsid w:val="00D000C7"/>
    <w:rsid w:val="00D3462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44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17BB4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94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C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RES_105_1999_COMP.pdf/35bc8b0b-8efb-4a66-b852-0e2d60ccc455" TargetMode="External"/><Relationship Id="rId13" Type="http://schemas.openxmlformats.org/officeDocument/2006/relationships/hyperlink" Target="mailto:rel@anvisa.gov.b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anvisa.gov.br/documents/10181/5993708/CONSULTA+P%C3%9ABLICA+N+897+GEARE.pdf/3b343d38-980a-4953-bb5c-7e9999aeb171" TargetMode="External"/><Relationship Id="rId12" Type="http://schemas.openxmlformats.org/officeDocument/2006/relationships/hyperlink" Target="http://portal.anvisa.gov.br/documents/10181/5993708/Justificativa+regulat%C3%B3ria.pdf/135d31dd-bb33-4007-80e9-baa96b0634c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5993708/Relat%C3%B3rio+de+Mapeamento+de+Impacto.pdf/5a6a74b8-b972-4d96-b33f-8b85ff8649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rtal.anvisa.gov.br/documents/10181/2883670/%281%29RDC_88_2016.pdf/b6eb3585-1294-42a5-9b01-69133446781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4048184/RDC_56_2012_COMP.pdf/f203caaa-d5b4-4ac1-afc8-82f0bb13ffcb" TargetMode="External"/><Relationship Id="rId14" Type="http://schemas.openxmlformats.org/officeDocument/2006/relationships/hyperlink" Target="mailto:rel@anvisa.gov.b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2020-08-26T13:20:00Z</dcterms:created>
  <dcterms:modified xsi:type="dcterms:W3CDTF">2020-08-27T08:20:00Z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G/SPS/N/BRA/1760</vt:lpwstr>
  </property>
  <property fmtid="{D5CDD505-2E9C-101B-9397-08002B2CF9AE}" pid="3" name="TitusGUID">
    <vt:lpwstr>20a89989-334a-4291-b904-9531d9ce6617</vt:lpwstr>
  </property>
  <property fmtid="{D5CDD505-2E9C-101B-9397-08002B2CF9AE}" pid="4" name="WTOCLASSIFICATION">
    <vt:lpwstr>WTO OFFICIAL</vt:lpwstr>
  </property>
</Properties>
</file>