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3E219" w14:textId="5CEC26FE" w:rsidR="00AD0FDA" w:rsidRPr="00934B4C" w:rsidRDefault="00C554EB" w:rsidP="00934B4C">
      <w:pPr>
        <w:pStyle w:val="Titre"/>
        <w:rPr>
          <w:caps w:val="0"/>
          <w:kern w:val="0"/>
        </w:rPr>
      </w:pPr>
      <w:r w:rsidRPr="00934B4C">
        <w:rPr>
          <w:caps w:val="0"/>
          <w:kern w:val="0"/>
        </w:rPr>
        <w:t>NOTIFICATION</w:t>
      </w:r>
    </w:p>
    <w:p w14:paraId="63A5812B" w14:textId="77777777" w:rsidR="00AD0FDA" w:rsidRPr="00934B4C" w:rsidRDefault="00C554EB" w:rsidP="00934B4C">
      <w:pPr>
        <w:pStyle w:val="Title3"/>
      </w:pPr>
      <w:r w:rsidRPr="00934B4C">
        <w:t>Addendum</w:t>
      </w:r>
    </w:p>
    <w:p w14:paraId="5F592F47" w14:textId="77777777" w:rsidR="007141CF" w:rsidRPr="00934B4C" w:rsidRDefault="00C554EB" w:rsidP="00934B4C">
      <w:r w:rsidRPr="00934B4C">
        <w:t xml:space="preserve">The following communication, received on 4 July 2024, is being circulated at the request of the Delegation of </w:t>
      </w:r>
      <w:r w:rsidRPr="00934B4C">
        <w:rPr>
          <w:u w:val="single"/>
        </w:rPr>
        <w:t>Canada</w:t>
      </w:r>
      <w:r w:rsidRPr="00934B4C">
        <w:t>.</w:t>
      </w:r>
    </w:p>
    <w:p w14:paraId="7B779CC4" w14:textId="77777777" w:rsidR="00AD0FDA" w:rsidRPr="00934B4C" w:rsidRDefault="00AD0FDA" w:rsidP="00934B4C"/>
    <w:p w14:paraId="36C61393" w14:textId="77777777" w:rsidR="00AD0FDA" w:rsidRPr="00934B4C" w:rsidRDefault="00C554EB" w:rsidP="00934B4C">
      <w:pPr>
        <w:jc w:val="center"/>
        <w:rPr>
          <w:b/>
        </w:rPr>
      </w:pPr>
      <w:r w:rsidRPr="00934B4C">
        <w:rPr>
          <w:b/>
        </w:rPr>
        <w:t>_______________</w:t>
      </w:r>
    </w:p>
    <w:p w14:paraId="67E9B85B" w14:textId="77777777" w:rsidR="00AD0FDA" w:rsidRPr="00934B4C" w:rsidRDefault="00AD0FDA" w:rsidP="00934B4C"/>
    <w:p w14:paraId="0C525F9E"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C78C2" w14:paraId="3A1629D3" w14:textId="77777777" w:rsidTr="00D0271D">
        <w:tc>
          <w:tcPr>
            <w:tcW w:w="9242" w:type="dxa"/>
            <w:shd w:val="clear" w:color="auto" w:fill="auto"/>
          </w:tcPr>
          <w:p w14:paraId="4F2ADABB" w14:textId="77777777" w:rsidR="00AD0FDA" w:rsidRPr="00934B4C" w:rsidRDefault="00C554EB" w:rsidP="00934B4C">
            <w:pPr>
              <w:spacing w:after="240"/>
              <w:rPr>
                <w:u w:val="single"/>
              </w:rPr>
            </w:pPr>
            <w:r w:rsidRPr="00934B4C">
              <w:rPr>
                <w:u w:val="single"/>
              </w:rPr>
              <w:t>Repeal and replace of Feeds Regulations, 1983 with Feeds Regulations, 2024</w:t>
            </w:r>
          </w:p>
        </w:tc>
      </w:tr>
      <w:tr w:rsidR="00FC78C2" w:rsidRPr="00F36664" w14:paraId="60AFCA2B" w14:textId="77777777" w:rsidTr="00D0271D">
        <w:tc>
          <w:tcPr>
            <w:tcW w:w="9242" w:type="dxa"/>
            <w:shd w:val="clear" w:color="auto" w:fill="auto"/>
          </w:tcPr>
          <w:p w14:paraId="7F4F6116" w14:textId="77777777" w:rsidR="00AD0FDA" w:rsidRPr="00934B4C" w:rsidRDefault="00C554EB" w:rsidP="00934B4C">
            <w:pPr>
              <w:spacing w:after="240"/>
              <w:rPr>
                <w:u w:val="single"/>
              </w:rPr>
            </w:pPr>
            <w:r>
              <w:t xml:space="preserve">The Canadian Food Inspection Agency has recently published the </w:t>
            </w:r>
            <w:r>
              <w:rPr>
                <w:i/>
                <w:iCs/>
              </w:rPr>
              <w:t xml:space="preserve">Feeds Regulations, 2024. </w:t>
            </w:r>
            <w:r>
              <w:t>These</w:t>
            </w:r>
            <w:r w:rsidR="00EB48EB">
              <w:t> </w:t>
            </w:r>
            <w:r>
              <w:t xml:space="preserve">new regulations replace the previous </w:t>
            </w:r>
            <w:r>
              <w:rPr>
                <w:i/>
                <w:iCs/>
              </w:rPr>
              <w:t xml:space="preserve">Feeds Regulations, 1983. </w:t>
            </w:r>
            <w:r>
              <w:t>These modernized regulations include a range of new, and updated requirements that will improve the safety of livestock feed and the food production continuum, reflect international best practices, and support innovation within the animal feed sector. These changes will be gradually introduced, either through a delayed coming into force, or the use of a transition period to allow stakeholders, including exporters, to adapt to the new regulations.</w:t>
            </w:r>
          </w:p>
          <w:p w14:paraId="234C763D" w14:textId="77777777" w:rsidR="00765725" w:rsidRDefault="00C554EB" w:rsidP="00EB48EB">
            <w:pPr>
              <w:spacing w:before="240"/>
            </w:pPr>
            <w:r>
              <w:t>The new regulations include:</w:t>
            </w:r>
          </w:p>
          <w:p w14:paraId="4760D5B4" w14:textId="77777777" w:rsidR="00765725" w:rsidRDefault="00C554EB" w:rsidP="00EB48EB">
            <w:pPr>
              <w:numPr>
                <w:ilvl w:val="0"/>
                <w:numId w:val="16"/>
              </w:numPr>
              <w:ind w:left="346" w:hanging="357"/>
            </w:pPr>
            <w:r>
              <w:t>requirements for regulated parties to develop and implement a preventive control plan which describes hazards associated with commodities and operational activities and how these risks are being mitigated (delayed coming into force of 12 months);</w:t>
            </w:r>
          </w:p>
          <w:p w14:paraId="68F34888" w14:textId="77777777" w:rsidR="00765725" w:rsidRDefault="00C554EB" w:rsidP="00EB48EB">
            <w:pPr>
              <w:numPr>
                <w:ilvl w:val="0"/>
                <w:numId w:val="16"/>
              </w:numPr>
              <w:ind w:left="346" w:hanging="357"/>
            </w:pPr>
            <w:r>
              <w:t>requirements for more detailed record-keeping to better support risk management along the feed supply chain. Regulated parties will need to keep electronic or paper records of where feeds were purchased, and to whom they were sold, for a period of two years. (delayed coming into force of 12 months);</w:t>
            </w:r>
          </w:p>
          <w:p w14:paraId="58328A0F" w14:textId="77777777" w:rsidR="00765725" w:rsidRDefault="00C554EB" w:rsidP="00EB48EB">
            <w:pPr>
              <w:numPr>
                <w:ilvl w:val="0"/>
                <w:numId w:val="16"/>
              </w:numPr>
              <w:ind w:left="346" w:hanging="357"/>
            </w:pPr>
            <w:r>
              <w:t>updated general and safety standards for feed to better reflect current science, risks, production practices, and technology;</w:t>
            </w:r>
          </w:p>
          <w:p w14:paraId="25E73692" w14:textId="77777777" w:rsidR="00765725" w:rsidRDefault="00C554EB" w:rsidP="00EB48EB">
            <w:pPr>
              <w:numPr>
                <w:ilvl w:val="0"/>
                <w:numId w:val="16"/>
              </w:numPr>
              <w:ind w:left="346" w:hanging="357"/>
            </w:pPr>
            <w:r>
              <w:t>licensing requirements for prescribed livestock feeds and activities for livestock feeds sold between provinces, exported and imported for sale (delayed coming into force of 18 months);</w:t>
            </w:r>
          </w:p>
          <w:p w14:paraId="32253FB4" w14:textId="77777777" w:rsidR="00765725" w:rsidRDefault="00C554EB" w:rsidP="00EB48EB">
            <w:pPr>
              <w:numPr>
                <w:ilvl w:val="0"/>
                <w:numId w:val="16"/>
              </w:numPr>
              <w:ind w:left="346" w:hanging="357"/>
            </w:pPr>
            <w:r>
              <w:t>an updated, clearer, and broader permissions approach for livestock feeds, namely for the approval of feed ingredients and registration of mixed feeds;</w:t>
            </w:r>
          </w:p>
          <w:p w14:paraId="5A09ACDD" w14:textId="77777777" w:rsidR="00765725" w:rsidRDefault="00C554EB" w:rsidP="00EB48EB">
            <w:pPr>
              <w:numPr>
                <w:ilvl w:val="0"/>
                <w:numId w:val="16"/>
              </w:numPr>
              <w:ind w:left="346" w:hanging="357"/>
            </w:pPr>
            <w:r>
              <w:t>new labelling requirements that require health and safety information to be in both official languages and the use of identification codes (lot numbers) on all livestock feed labels (coming into force immediately, with a 1-year transition period)</w:t>
            </w:r>
          </w:p>
          <w:p w14:paraId="40397745" w14:textId="77777777" w:rsidR="00765725" w:rsidRDefault="00C554EB" w:rsidP="00EB48EB">
            <w:pPr>
              <w:numPr>
                <w:ilvl w:val="0"/>
                <w:numId w:val="16"/>
              </w:numPr>
              <w:ind w:left="346" w:hanging="357"/>
            </w:pPr>
            <w:r>
              <w:t xml:space="preserve">an expanded scope of livestock species subject to the </w:t>
            </w:r>
            <w:r>
              <w:rPr>
                <w:i/>
                <w:iCs/>
              </w:rPr>
              <w:t>Feeds Act</w:t>
            </w:r>
            <w:r>
              <w:t xml:space="preserve"> and </w:t>
            </w:r>
            <w:r>
              <w:rPr>
                <w:i/>
                <w:iCs/>
              </w:rPr>
              <w:t>Regulations</w:t>
            </w:r>
            <w:r>
              <w:t>. The following species will be added: game birds (pigeons, pheasants, partridges, quail, grouse, guinea fowl and pea fowl), ratites, bison, water buffalo, cervids, llamas, alpacas, molluscs, crustaceans, and bees. Mink and foxes will no longer be captured as they are not considered food producing animals. Cattle, horses, sheep, goats, swine, poultry (chickens, turkeys, ducks, and geese), fish, and rabbits will continue to remain in scope;</w:t>
            </w:r>
          </w:p>
          <w:p w14:paraId="77A17BDD" w14:textId="77777777" w:rsidR="00765725" w:rsidRDefault="00C554EB" w:rsidP="00EB48EB">
            <w:pPr>
              <w:numPr>
                <w:ilvl w:val="0"/>
                <w:numId w:val="16"/>
              </w:numPr>
              <w:ind w:left="346" w:hanging="357"/>
            </w:pPr>
            <w:r>
              <w:t xml:space="preserve">updated and clarified exemptions from the </w:t>
            </w:r>
            <w:r>
              <w:rPr>
                <w:i/>
                <w:iCs/>
              </w:rPr>
              <w:t>Feeds Act</w:t>
            </w:r>
            <w:r>
              <w:t xml:space="preserve"> and Regulations;</w:t>
            </w:r>
          </w:p>
          <w:p w14:paraId="0919B969" w14:textId="77777777" w:rsidR="00765725" w:rsidRDefault="00C554EB" w:rsidP="00EB48EB">
            <w:pPr>
              <w:numPr>
                <w:ilvl w:val="0"/>
                <w:numId w:val="16"/>
              </w:numPr>
              <w:spacing w:after="240"/>
              <w:ind w:left="346" w:hanging="357"/>
            </w:pPr>
            <w:r>
              <w:t xml:space="preserve">the incorporation by reference (IBR) of various technical documents. IBR is a drafting technique used to bring the content of a document into a regulation, allowing greater flexibility to maintain an agile and flexible regulatory regime. IBR documents have the same force as the regulation into which they are incorporated. Documents incorporated into the </w:t>
            </w:r>
            <w:r>
              <w:rPr>
                <w:i/>
                <w:iCs/>
              </w:rPr>
              <w:t>Feeds Regulations, 2024</w:t>
            </w:r>
            <w:r>
              <w:t xml:space="preserve"> include: single ingredient feeds; medicating ingredients; non-feed products allowed to be used in feed; nutrient guarantees and conditions allowed on livestock feed labels; maximum nutrient </w:t>
            </w:r>
            <w:r>
              <w:lastRenderedPageBreak/>
              <w:t>values in feed; maximum weed seeds in feed; maximum contaminant levels in feed; permissible claims allowed on livestock feed labels; and prescribed deleterious substances.</w:t>
            </w:r>
          </w:p>
          <w:p w14:paraId="3AEAA8D1" w14:textId="77777777" w:rsidR="00765725" w:rsidRDefault="00C554EB" w:rsidP="00934B4C">
            <w:pPr>
              <w:spacing w:before="240" w:after="240"/>
            </w:pPr>
            <w:r>
              <w:t>Note: This measure is also notified to the Committee on Technical Barriers to Trade under G/TBT/N/CAN/645/Add.2.</w:t>
            </w:r>
          </w:p>
          <w:p w14:paraId="575B3231" w14:textId="77777777" w:rsidR="00765725" w:rsidRDefault="00C554EB" w:rsidP="00EB48EB">
            <w:r>
              <w:t xml:space="preserve">The </w:t>
            </w:r>
            <w:r>
              <w:rPr>
                <w:i/>
                <w:iCs/>
              </w:rPr>
              <w:t>Feeds Regulations, 2024</w:t>
            </w:r>
            <w:r>
              <w:t xml:space="preserve"> can be found:</w:t>
            </w:r>
          </w:p>
          <w:p w14:paraId="60A15A97" w14:textId="77777777" w:rsidR="00765725" w:rsidRDefault="00C554EB" w:rsidP="00EB48EB">
            <w:r>
              <w:t xml:space="preserve">English: </w:t>
            </w:r>
            <w:hyperlink r:id="rId8" w:history="1">
              <w:r>
                <w:rPr>
                  <w:color w:val="0000FF"/>
                  <w:u w:val="single"/>
                </w:rPr>
                <w:t>Canada Gazette, Part 2, Volume 158, Number 14: Feeds Regulations, 2024</w:t>
              </w:r>
            </w:hyperlink>
          </w:p>
          <w:p w14:paraId="291D3610" w14:textId="77777777" w:rsidR="00765725" w:rsidRPr="00EB48EB" w:rsidRDefault="00C554EB" w:rsidP="00EB48EB">
            <w:pPr>
              <w:spacing w:after="240"/>
              <w:rPr>
                <w:lang w:val="fr-CH"/>
              </w:rPr>
            </w:pPr>
            <w:r w:rsidRPr="00EB48EB">
              <w:rPr>
                <w:lang w:val="fr-CH"/>
              </w:rPr>
              <w:t xml:space="preserve">French: </w:t>
            </w:r>
            <w:r w:rsidR="00F36664">
              <w:fldChar w:fldCharType="begin"/>
            </w:r>
            <w:r w:rsidR="00F36664" w:rsidRPr="00F36664">
              <w:rPr>
                <w:lang w:val="fr-CH"/>
              </w:rPr>
              <w:instrText>HYPERLINK "https://canadagazette.gc.ca/rp-pr/p2/2024/2024-07-03/html/sor-dors132-fra.html"</w:instrText>
            </w:r>
            <w:r w:rsidR="00F36664">
              <w:fldChar w:fldCharType="separate"/>
            </w:r>
            <w:r w:rsidRPr="00EB48EB">
              <w:rPr>
                <w:color w:val="0000FF"/>
                <w:u w:val="single"/>
                <w:lang w:val="fr-CH"/>
              </w:rPr>
              <w:t>La Gazette du Canada, Partie 2, volume 158, numéro 14 : Règlement de 2024 sur les aliments du bétail (canadagazette.gc.ca)</w:t>
            </w:r>
            <w:r w:rsidR="00F36664">
              <w:rPr>
                <w:color w:val="0000FF"/>
                <w:u w:val="single"/>
                <w:lang w:val="fr-CH"/>
              </w:rPr>
              <w:fldChar w:fldCharType="end"/>
            </w:r>
          </w:p>
        </w:tc>
      </w:tr>
      <w:tr w:rsidR="00FC78C2" w14:paraId="39A3546C" w14:textId="77777777" w:rsidTr="00D0271D">
        <w:tc>
          <w:tcPr>
            <w:tcW w:w="9242" w:type="dxa"/>
            <w:shd w:val="clear" w:color="auto" w:fill="auto"/>
          </w:tcPr>
          <w:p w14:paraId="52EBC2F7" w14:textId="77777777" w:rsidR="00AD0FDA" w:rsidRPr="00934B4C" w:rsidRDefault="00C554EB" w:rsidP="00934B4C">
            <w:pPr>
              <w:spacing w:after="240"/>
              <w:rPr>
                <w:b/>
              </w:rPr>
            </w:pPr>
            <w:r w:rsidRPr="00934B4C">
              <w:rPr>
                <w:b/>
              </w:rPr>
              <w:lastRenderedPageBreak/>
              <w:t>This addendum concerns a:</w:t>
            </w:r>
          </w:p>
        </w:tc>
      </w:tr>
      <w:tr w:rsidR="00FC78C2" w14:paraId="471BB919" w14:textId="77777777" w:rsidTr="00D0271D">
        <w:tc>
          <w:tcPr>
            <w:tcW w:w="9242" w:type="dxa"/>
            <w:shd w:val="clear" w:color="auto" w:fill="auto"/>
          </w:tcPr>
          <w:p w14:paraId="49EA9324" w14:textId="77777777" w:rsidR="00AD0FDA" w:rsidRPr="00934B4C" w:rsidRDefault="00C554EB" w:rsidP="00934B4C">
            <w:pPr>
              <w:ind w:left="1440" w:hanging="873"/>
            </w:pPr>
            <w:r w:rsidRPr="00934B4C">
              <w:t xml:space="preserve">[ </w:t>
            </w:r>
            <w:r w:rsidR="00C52DE3" w:rsidRPr="00934B4C">
              <w:t>]</w:t>
            </w:r>
            <w:r w:rsidR="00F342EB" w:rsidRPr="00934B4C">
              <w:tab/>
            </w:r>
            <w:r w:rsidRPr="00934B4C">
              <w:t>Modification of final date for comments</w:t>
            </w:r>
          </w:p>
        </w:tc>
      </w:tr>
      <w:tr w:rsidR="00FC78C2" w14:paraId="3BC73565" w14:textId="77777777" w:rsidTr="00D0271D">
        <w:tc>
          <w:tcPr>
            <w:tcW w:w="9242" w:type="dxa"/>
            <w:shd w:val="clear" w:color="auto" w:fill="auto"/>
          </w:tcPr>
          <w:p w14:paraId="0D98D8F0" w14:textId="77777777" w:rsidR="00AD0FDA" w:rsidRPr="00934B4C" w:rsidRDefault="00C554EB"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FC78C2" w14:paraId="295FAF05" w14:textId="77777777" w:rsidTr="00D0271D">
        <w:tc>
          <w:tcPr>
            <w:tcW w:w="9242" w:type="dxa"/>
            <w:shd w:val="clear" w:color="auto" w:fill="auto"/>
          </w:tcPr>
          <w:p w14:paraId="64584519" w14:textId="77777777" w:rsidR="00AD0FDA" w:rsidRPr="00934B4C" w:rsidRDefault="00C554EB" w:rsidP="00934B4C">
            <w:pPr>
              <w:ind w:left="1440" w:hanging="873"/>
            </w:pPr>
            <w:r w:rsidRPr="00934B4C">
              <w:t>[ ]</w:t>
            </w:r>
            <w:r w:rsidRPr="00934B4C">
              <w:tab/>
              <w:t>Modification of content and/or scope of previously notified draft regulation</w:t>
            </w:r>
          </w:p>
        </w:tc>
      </w:tr>
      <w:tr w:rsidR="00FC78C2" w14:paraId="202C53BD" w14:textId="77777777" w:rsidTr="00D0271D">
        <w:tc>
          <w:tcPr>
            <w:tcW w:w="9242" w:type="dxa"/>
            <w:shd w:val="clear" w:color="auto" w:fill="auto"/>
          </w:tcPr>
          <w:p w14:paraId="56CA0B9C" w14:textId="77777777" w:rsidR="00AD0FDA" w:rsidRPr="00934B4C" w:rsidRDefault="00C554EB" w:rsidP="00934B4C">
            <w:pPr>
              <w:ind w:left="1440" w:hanging="873"/>
            </w:pPr>
            <w:r w:rsidRPr="00934B4C">
              <w:t>[ ]</w:t>
            </w:r>
            <w:r w:rsidRPr="00934B4C">
              <w:tab/>
              <w:t>Withdrawal of proposed regulation</w:t>
            </w:r>
          </w:p>
        </w:tc>
      </w:tr>
      <w:tr w:rsidR="00FC78C2" w14:paraId="7B053175" w14:textId="77777777" w:rsidTr="00D0271D">
        <w:tc>
          <w:tcPr>
            <w:tcW w:w="9242" w:type="dxa"/>
            <w:shd w:val="clear" w:color="auto" w:fill="auto"/>
          </w:tcPr>
          <w:p w14:paraId="5F953AFF" w14:textId="77777777" w:rsidR="00AD0FDA" w:rsidRPr="00934B4C" w:rsidRDefault="00C554EB" w:rsidP="00934B4C">
            <w:pPr>
              <w:ind w:left="1440" w:hanging="873"/>
            </w:pPr>
            <w:r w:rsidRPr="00934B4C">
              <w:t>[ ]</w:t>
            </w:r>
            <w:r w:rsidRPr="00934B4C">
              <w:tab/>
              <w:t>Change in proposed date of adoption, publication or date of entry into force</w:t>
            </w:r>
          </w:p>
        </w:tc>
      </w:tr>
      <w:tr w:rsidR="00FC78C2" w14:paraId="79596AF1" w14:textId="77777777" w:rsidTr="00D0271D">
        <w:tc>
          <w:tcPr>
            <w:tcW w:w="9242" w:type="dxa"/>
            <w:shd w:val="clear" w:color="auto" w:fill="auto"/>
          </w:tcPr>
          <w:p w14:paraId="11475A21" w14:textId="77777777" w:rsidR="00AD0FDA" w:rsidRPr="00934B4C" w:rsidRDefault="00C554EB" w:rsidP="00934B4C">
            <w:pPr>
              <w:spacing w:after="240"/>
              <w:ind w:left="1440" w:hanging="873"/>
            </w:pPr>
            <w:r w:rsidRPr="00934B4C">
              <w:t>[ ]</w:t>
            </w:r>
            <w:r w:rsidRPr="00934B4C">
              <w:tab/>
              <w:t xml:space="preserve">Other: </w:t>
            </w:r>
          </w:p>
        </w:tc>
      </w:tr>
      <w:tr w:rsidR="00FC78C2" w14:paraId="26D9A008" w14:textId="77777777" w:rsidTr="00D0271D">
        <w:tc>
          <w:tcPr>
            <w:tcW w:w="9242" w:type="dxa"/>
            <w:shd w:val="clear" w:color="auto" w:fill="auto"/>
          </w:tcPr>
          <w:p w14:paraId="7668A046" w14:textId="77777777" w:rsidR="00AD0FDA" w:rsidRPr="00934B4C" w:rsidRDefault="00C554EB"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FC78C2" w14:paraId="0EC00772" w14:textId="77777777" w:rsidTr="00D0271D">
        <w:tc>
          <w:tcPr>
            <w:tcW w:w="9242" w:type="dxa"/>
            <w:shd w:val="clear" w:color="auto" w:fill="auto"/>
          </w:tcPr>
          <w:p w14:paraId="05DD1D77" w14:textId="77777777" w:rsidR="00AD0FDA" w:rsidRPr="00934B4C" w:rsidRDefault="00C554EB" w:rsidP="00934B4C">
            <w:pPr>
              <w:spacing w:after="240"/>
              <w:ind w:left="1440" w:hanging="873"/>
            </w:pPr>
            <w:r w:rsidRPr="00934B4C">
              <w:t>[ ]</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Not applicable</w:t>
            </w:r>
          </w:p>
        </w:tc>
      </w:tr>
      <w:tr w:rsidR="00FC78C2" w14:paraId="731169F7" w14:textId="77777777" w:rsidTr="00D0271D">
        <w:tc>
          <w:tcPr>
            <w:tcW w:w="9242" w:type="dxa"/>
            <w:shd w:val="clear" w:color="auto" w:fill="auto"/>
          </w:tcPr>
          <w:p w14:paraId="77EA5024" w14:textId="77777777" w:rsidR="00AD0FDA" w:rsidRPr="00934B4C" w:rsidRDefault="00C554EB" w:rsidP="00934B4C">
            <w:pPr>
              <w:spacing w:after="240"/>
              <w:rPr>
                <w:b/>
              </w:rPr>
            </w:pPr>
            <w:r w:rsidRPr="00934B4C">
              <w:rPr>
                <w:b/>
              </w:rPr>
              <w:t>Agency or authority designated to handle comments: [ ] National Notification Authority, [X] National Enquiry Point. Address, fax number and e-mail address (if available) of other body:</w:t>
            </w:r>
          </w:p>
        </w:tc>
      </w:tr>
      <w:tr w:rsidR="00FC78C2" w14:paraId="6F4F54FD" w14:textId="77777777" w:rsidTr="00D0271D">
        <w:tc>
          <w:tcPr>
            <w:tcW w:w="9242" w:type="dxa"/>
            <w:shd w:val="clear" w:color="auto" w:fill="auto"/>
          </w:tcPr>
          <w:p w14:paraId="7E1B105A" w14:textId="77777777" w:rsidR="00AD0FDA" w:rsidRPr="00934B4C" w:rsidRDefault="00AD0FDA" w:rsidP="00934B4C">
            <w:pPr>
              <w:spacing w:after="240"/>
            </w:pPr>
          </w:p>
        </w:tc>
      </w:tr>
      <w:tr w:rsidR="00FC78C2" w14:paraId="2A2F4799" w14:textId="77777777" w:rsidTr="00D0271D">
        <w:tc>
          <w:tcPr>
            <w:tcW w:w="9242" w:type="dxa"/>
            <w:shd w:val="clear" w:color="auto" w:fill="auto"/>
          </w:tcPr>
          <w:p w14:paraId="517C5755" w14:textId="77777777" w:rsidR="00AD0FDA" w:rsidRPr="00934B4C" w:rsidRDefault="00C554EB" w:rsidP="00934B4C">
            <w:pPr>
              <w:spacing w:after="240"/>
              <w:rPr>
                <w:b/>
              </w:rPr>
            </w:pPr>
            <w:r w:rsidRPr="00934B4C">
              <w:rPr>
                <w:b/>
              </w:rPr>
              <w:t>Text</w:t>
            </w:r>
            <w:r w:rsidR="00D06EF3" w:rsidRPr="00934B4C">
              <w:rPr>
                <w:b/>
              </w:rPr>
              <w:t>(s)</w:t>
            </w:r>
            <w:r w:rsidRPr="00934B4C">
              <w:rPr>
                <w:b/>
              </w:rPr>
              <w:t xml:space="preserve"> available from: [</w:t>
            </w:r>
            <w:r>
              <w:rPr>
                <w:b/>
              </w:rPr>
              <w:t xml:space="preserve"> </w:t>
            </w:r>
            <w:r w:rsidRPr="00934B4C">
              <w:rPr>
                <w:b/>
              </w:rPr>
              <w:t>] National Notification Authority, [X] National Enquiry Point. Address, fax number and e-mail address (if available) of other body:</w:t>
            </w:r>
          </w:p>
        </w:tc>
      </w:tr>
      <w:tr w:rsidR="00FC78C2" w:rsidRPr="00F36664" w14:paraId="683F352C" w14:textId="77777777" w:rsidTr="00D0271D">
        <w:tc>
          <w:tcPr>
            <w:tcW w:w="9242" w:type="dxa"/>
            <w:shd w:val="clear" w:color="auto" w:fill="auto"/>
          </w:tcPr>
          <w:p w14:paraId="72DA8BC0" w14:textId="77777777" w:rsidR="00AD0FDA" w:rsidRPr="00934B4C" w:rsidRDefault="00C554EB" w:rsidP="00934B4C">
            <w:r w:rsidRPr="00934B4C">
              <w:t>Canada's Notification Authority and Enquiry Point</w:t>
            </w:r>
          </w:p>
          <w:p w14:paraId="4530366B" w14:textId="77777777" w:rsidR="00AD0FDA" w:rsidRPr="00934B4C" w:rsidRDefault="00C554EB" w:rsidP="00934B4C">
            <w:r w:rsidRPr="00934B4C">
              <w:t>Technical Barriers and Regulations Division</w:t>
            </w:r>
          </w:p>
          <w:p w14:paraId="65A46F7A" w14:textId="77777777" w:rsidR="00AD0FDA" w:rsidRPr="00934B4C" w:rsidRDefault="00C554EB" w:rsidP="00934B4C">
            <w:r w:rsidRPr="00934B4C">
              <w:t>Global Affairs Canada</w:t>
            </w:r>
          </w:p>
          <w:p w14:paraId="70557588" w14:textId="77777777" w:rsidR="00AD0FDA" w:rsidRPr="00934B4C" w:rsidRDefault="00C554EB" w:rsidP="00934B4C">
            <w:r w:rsidRPr="00934B4C">
              <w:t>111 Sussex Drive</w:t>
            </w:r>
          </w:p>
          <w:p w14:paraId="198AD6EC" w14:textId="77777777" w:rsidR="00AD0FDA" w:rsidRPr="00934B4C" w:rsidRDefault="00C554EB" w:rsidP="00934B4C">
            <w:r w:rsidRPr="00934B4C">
              <w:t>Ottawa, Ontario, K1A 0G2</w:t>
            </w:r>
          </w:p>
          <w:p w14:paraId="7E63E097" w14:textId="77777777" w:rsidR="00AD0FDA" w:rsidRPr="00C554EB" w:rsidRDefault="00C554EB" w:rsidP="00934B4C">
            <w:pPr>
              <w:rPr>
                <w:lang w:val="pt-PT"/>
              </w:rPr>
            </w:pPr>
            <w:r w:rsidRPr="00C554EB">
              <w:rPr>
                <w:lang w:val="pt-PT"/>
              </w:rPr>
              <w:t>Canada</w:t>
            </w:r>
          </w:p>
          <w:p w14:paraId="58ABFE49" w14:textId="77777777" w:rsidR="00AD0FDA" w:rsidRPr="00C554EB" w:rsidRDefault="00C554EB" w:rsidP="00934B4C">
            <w:pPr>
              <w:rPr>
                <w:lang w:val="pt-PT"/>
              </w:rPr>
            </w:pPr>
            <w:r w:rsidRPr="00C554EB">
              <w:rPr>
                <w:lang w:val="pt-PT"/>
              </w:rPr>
              <w:t>Tel: +(343) 203 4273</w:t>
            </w:r>
          </w:p>
          <w:p w14:paraId="5947130E" w14:textId="77777777" w:rsidR="00AD0FDA" w:rsidRPr="00C554EB" w:rsidRDefault="00C554EB" w:rsidP="00934B4C">
            <w:pPr>
              <w:rPr>
                <w:lang w:val="pt-PT"/>
              </w:rPr>
            </w:pPr>
            <w:r w:rsidRPr="00C554EB">
              <w:rPr>
                <w:lang w:val="pt-PT"/>
              </w:rPr>
              <w:t>Fax: +(613) 943 0346</w:t>
            </w:r>
          </w:p>
          <w:p w14:paraId="16B2E671" w14:textId="77777777" w:rsidR="00AD0FDA" w:rsidRPr="00C554EB" w:rsidRDefault="00C554EB" w:rsidP="00934B4C">
            <w:pPr>
              <w:rPr>
                <w:lang w:val="pt-PT"/>
              </w:rPr>
            </w:pPr>
            <w:r w:rsidRPr="00C554EB">
              <w:rPr>
                <w:lang w:val="pt-PT"/>
              </w:rPr>
              <w:t xml:space="preserve">E-mail: </w:t>
            </w:r>
            <w:hyperlink r:id="rId9" w:history="1">
              <w:r w:rsidRPr="00C554EB">
                <w:rPr>
                  <w:color w:val="0000FF"/>
                  <w:u w:val="single"/>
                  <w:lang w:val="pt-PT"/>
                </w:rPr>
                <w:t>enquirypoint@international.gc.ca</w:t>
              </w:r>
            </w:hyperlink>
          </w:p>
        </w:tc>
      </w:tr>
    </w:tbl>
    <w:p w14:paraId="5BE7B4B2" w14:textId="77777777" w:rsidR="00AD0FDA" w:rsidRPr="00C554EB" w:rsidRDefault="00AD0FDA" w:rsidP="00934B4C">
      <w:pPr>
        <w:rPr>
          <w:lang w:val="pt-PT"/>
        </w:rPr>
      </w:pPr>
    </w:p>
    <w:p w14:paraId="630BF717" w14:textId="77777777" w:rsidR="00AD0FDA" w:rsidRPr="00934B4C" w:rsidRDefault="00C554EB" w:rsidP="00934B4C">
      <w:pPr>
        <w:jc w:val="center"/>
        <w:rPr>
          <w:b/>
        </w:rPr>
      </w:pPr>
      <w:r w:rsidRPr="00934B4C">
        <w:rPr>
          <w:b/>
        </w:rPr>
        <w:t>__________</w:t>
      </w:r>
    </w:p>
    <w:sectPr w:rsidR="00AD0FDA" w:rsidRPr="00934B4C" w:rsidSect="00EB48EB">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8D8CA" w14:textId="77777777" w:rsidR="00C554EB" w:rsidRDefault="00C554EB">
      <w:r>
        <w:separator/>
      </w:r>
    </w:p>
  </w:endnote>
  <w:endnote w:type="continuationSeparator" w:id="0">
    <w:p w14:paraId="6938C588" w14:textId="77777777" w:rsidR="00C554EB" w:rsidRDefault="00C55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587CB" w14:textId="77777777" w:rsidR="00AD0FDA" w:rsidRPr="00EB48EB" w:rsidRDefault="00C554EB" w:rsidP="00EB48EB">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71DDC" w14:textId="77777777" w:rsidR="00AD0FDA" w:rsidRPr="00EB48EB" w:rsidRDefault="00C554EB" w:rsidP="00EB48EB">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E84EB" w14:textId="7153AC3B" w:rsidR="009A1BA8" w:rsidRPr="00934B4C" w:rsidRDefault="00C554EB">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566CA" w14:textId="77777777" w:rsidR="00C554EB" w:rsidRDefault="00C554EB">
      <w:r>
        <w:separator/>
      </w:r>
    </w:p>
  </w:footnote>
  <w:footnote w:type="continuationSeparator" w:id="0">
    <w:p w14:paraId="4A95FF01" w14:textId="77777777" w:rsidR="00C554EB" w:rsidRDefault="00C55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C0FDF" w14:textId="77777777" w:rsidR="00EB48EB" w:rsidRPr="00EB48EB" w:rsidRDefault="00C554EB" w:rsidP="00EB48EB">
    <w:pPr>
      <w:pStyle w:val="En-tte"/>
      <w:pBdr>
        <w:bottom w:val="single" w:sz="4" w:space="1" w:color="auto"/>
      </w:pBdr>
      <w:tabs>
        <w:tab w:val="clear" w:pos="4513"/>
        <w:tab w:val="clear" w:pos="9027"/>
      </w:tabs>
      <w:jc w:val="center"/>
    </w:pPr>
    <w:r w:rsidRPr="00EB48EB">
      <w:t>G/SPS/N/CAN/1396/Add.2</w:t>
    </w:r>
  </w:p>
  <w:p w14:paraId="62F9BFDE" w14:textId="77777777" w:rsidR="00EB48EB" w:rsidRPr="00EB48EB" w:rsidRDefault="00EB48EB" w:rsidP="00EB48EB">
    <w:pPr>
      <w:pStyle w:val="En-tte"/>
      <w:pBdr>
        <w:bottom w:val="single" w:sz="4" w:space="1" w:color="auto"/>
      </w:pBdr>
      <w:tabs>
        <w:tab w:val="clear" w:pos="4513"/>
        <w:tab w:val="clear" w:pos="9027"/>
      </w:tabs>
      <w:jc w:val="center"/>
    </w:pPr>
  </w:p>
  <w:p w14:paraId="22428A2E" w14:textId="77777777" w:rsidR="00EB48EB" w:rsidRPr="00EB48EB" w:rsidRDefault="00C554EB" w:rsidP="00EB48EB">
    <w:pPr>
      <w:pStyle w:val="En-tte"/>
      <w:pBdr>
        <w:bottom w:val="single" w:sz="4" w:space="1" w:color="auto"/>
      </w:pBdr>
      <w:tabs>
        <w:tab w:val="clear" w:pos="4513"/>
        <w:tab w:val="clear" w:pos="9027"/>
      </w:tabs>
      <w:jc w:val="center"/>
    </w:pPr>
    <w:r w:rsidRPr="00EB48EB">
      <w:t xml:space="preserve">- </w:t>
    </w:r>
    <w:r w:rsidRPr="00EB48EB">
      <w:fldChar w:fldCharType="begin"/>
    </w:r>
    <w:r w:rsidRPr="00EB48EB">
      <w:instrText xml:space="preserve"> PAGE </w:instrText>
    </w:r>
    <w:r w:rsidRPr="00EB48EB">
      <w:fldChar w:fldCharType="separate"/>
    </w:r>
    <w:r w:rsidRPr="00EB48EB">
      <w:rPr>
        <w:noProof/>
      </w:rPr>
      <w:t>2</w:t>
    </w:r>
    <w:r w:rsidRPr="00EB48EB">
      <w:fldChar w:fldCharType="end"/>
    </w:r>
    <w:r w:rsidRPr="00EB48EB">
      <w:t xml:space="preserve"> -</w:t>
    </w:r>
  </w:p>
  <w:p w14:paraId="6DBBDB14" w14:textId="33AD117E" w:rsidR="00AD0FDA" w:rsidRPr="00EB48EB" w:rsidRDefault="00AD0FDA" w:rsidP="00EB48EB">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C2A4" w14:textId="77777777" w:rsidR="00EB48EB" w:rsidRPr="00EB48EB" w:rsidRDefault="00C554EB" w:rsidP="00EB48EB">
    <w:pPr>
      <w:pStyle w:val="En-tte"/>
      <w:pBdr>
        <w:bottom w:val="single" w:sz="4" w:space="1" w:color="auto"/>
      </w:pBdr>
      <w:tabs>
        <w:tab w:val="clear" w:pos="4513"/>
        <w:tab w:val="clear" w:pos="9027"/>
      </w:tabs>
      <w:jc w:val="center"/>
    </w:pPr>
    <w:r w:rsidRPr="00EB48EB">
      <w:t>G/SPS/N/CAN/1396/Add.2</w:t>
    </w:r>
  </w:p>
  <w:p w14:paraId="01BDC76D" w14:textId="77777777" w:rsidR="00EB48EB" w:rsidRPr="00EB48EB" w:rsidRDefault="00EB48EB" w:rsidP="00EB48EB">
    <w:pPr>
      <w:pStyle w:val="En-tte"/>
      <w:pBdr>
        <w:bottom w:val="single" w:sz="4" w:space="1" w:color="auto"/>
      </w:pBdr>
      <w:tabs>
        <w:tab w:val="clear" w:pos="4513"/>
        <w:tab w:val="clear" w:pos="9027"/>
      </w:tabs>
      <w:jc w:val="center"/>
    </w:pPr>
  </w:p>
  <w:p w14:paraId="68985CC3" w14:textId="77777777" w:rsidR="00EB48EB" w:rsidRPr="00EB48EB" w:rsidRDefault="00C554EB" w:rsidP="00EB48EB">
    <w:pPr>
      <w:pStyle w:val="En-tte"/>
      <w:pBdr>
        <w:bottom w:val="single" w:sz="4" w:space="1" w:color="auto"/>
      </w:pBdr>
      <w:tabs>
        <w:tab w:val="clear" w:pos="4513"/>
        <w:tab w:val="clear" w:pos="9027"/>
      </w:tabs>
      <w:jc w:val="center"/>
    </w:pPr>
    <w:r w:rsidRPr="00EB48EB">
      <w:t xml:space="preserve">- </w:t>
    </w:r>
    <w:r w:rsidRPr="00EB48EB">
      <w:fldChar w:fldCharType="begin"/>
    </w:r>
    <w:r w:rsidRPr="00EB48EB">
      <w:instrText xml:space="preserve"> PAGE </w:instrText>
    </w:r>
    <w:r w:rsidRPr="00EB48EB">
      <w:fldChar w:fldCharType="separate"/>
    </w:r>
    <w:r w:rsidRPr="00EB48EB">
      <w:rPr>
        <w:noProof/>
      </w:rPr>
      <w:t>2</w:t>
    </w:r>
    <w:r w:rsidRPr="00EB48EB">
      <w:fldChar w:fldCharType="end"/>
    </w:r>
    <w:r w:rsidRPr="00EB48EB">
      <w:t xml:space="preserve"> -</w:t>
    </w:r>
  </w:p>
  <w:p w14:paraId="382B9F93" w14:textId="32034972" w:rsidR="00AD0FDA" w:rsidRPr="00EB48EB" w:rsidRDefault="00AD0FDA" w:rsidP="00EB48EB">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C78C2" w14:paraId="2446F367" w14:textId="77777777" w:rsidTr="00B13A58">
      <w:trPr>
        <w:trHeight w:val="240"/>
        <w:jc w:val="center"/>
      </w:trPr>
      <w:tc>
        <w:tcPr>
          <w:tcW w:w="3794" w:type="dxa"/>
          <w:shd w:val="clear" w:color="auto" w:fill="FFFFFF"/>
          <w:tcMar>
            <w:left w:w="108" w:type="dxa"/>
            <w:right w:w="108" w:type="dxa"/>
          </w:tcMar>
          <w:vAlign w:val="center"/>
        </w:tcPr>
        <w:p w14:paraId="5DE9D786"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6EFE13B5" w14:textId="77777777" w:rsidR="00ED54E0" w:rsidRPr="00AD0FDA" w:rsidRDefault="00C554EB" w:rsidP="0081481D">
          <w:pPr>
            <w:jc w:val="right"/>
            <w:rPr>
              <w:b/>
              <w:color w:val="FF0000"/>
              <w:szCs w:val="16"/>
            </w:rPr>
          </w:pPr>
          <w:r>
            <w:rPr>
              <w:b/>
              <w:color w:val="FF0000"/>
              <w:szCs w:val="16"/>
            </w:rPr>
            <w:t xml:space="preserve"> </w:t>
          </w:r>
        </w:p>
      </w:tc>
    </w:tr>
    <w:bookmarkEnd w:id="0"/>
    <w:tr w:rsidR="00FC78C2" w14:paraId="40ADD53F" w14:textId="77777777" w:rsidTr="00B13A58">
      <w:trPr>
        <w:trHeight w:val="213"/>
        <w:jc w:val="center"/>
      </w:trPr>
      <w:tc>
        <w:tcPr>
          <w:tcW w:w="3794" w:type="dxa"/>
          <w:vMerge w:val="restart"/>
          <w:shd w:val="clear" w:color="auto" w:fill="FFFFFF"/>
          <w:tcMar>
            <w:left w:w="0" w:type="dxa"/>
            <w:right w:w="0" w:type="dxa"/>
          </w:tcMar>
        </w:tcPr>
        <w:p w14:paraId="50F47894" w14:textId="77777777" w:rsidR="00ED54E0" w:rsidRPr="00AD0FDA" w:rsidRDefault="00C554EB" w:rsidP="0081481D">
          <w:pPr>
            <w:jc w:val="left"/>
          </w:pPr>
          <w:r>
            <w:rPr>
              <w:noProof/>
              <w:lang w:eastAsia="en-GB"/>
            </w:rPr>
            <w:drawing>
              <wp:inline distT="0" distB="0" distL="0" distR="0" wp14:anchorId="31FB2FCC" wp14:editId="0C657FD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88090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DC2AE84" w14:textId="77777777" w:rsidR="00ED54E0" w:rsidRPr="00AD0FDA" w:rsidRDefault="00ED54E0" w:rsidP="0081481D">
          <w:pPr>
            <w:jc w:val="right"/>
            <w:rPr>
              <w:b/>
              <w:szCs w:val="16"/>
            </w:rPr>
          </w:pPr>
        </w:p>
      </w:tc>
    </w:tr>
    <w:tr w:rsidR="00FC78C2" w14:paraId="5A5763AB" w14:textId="77777777" w:rsidTr="00B13A58">
      <w:trPr>
        <w:trHeight w:val="868"/>
        <w:jc w:val="center"/>
      </w:trPr>
      <w:tc>
        <w:tcPr>
          <w:tcW w:w="3794" w:type="dxa"/>
          <w:vMerge/>
          <w:shd w:val="clear" w:color="auto" w:fill="FFFFFF"/>
          <w:tcMar>
            <w:left w:w="108" w:type="dxa"/>
            <w:right w:w="108" w:type="dxa"/>
          </w:tcMar>
        </w:tcPr>
        <w:p w14:paraId="67DA9CD0"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8BEC9FA" w14:textId="77777777" w:rsidR="00EB48EB" w:rsidRDefault="00C554EB" w:rsidP="0081481D">
          <w:pPr>
            <w:jc w:val="right"/>
            <w:rPr>
              <w:b/>
              <w:szCs w:val="16"/>
            </w:rPr>
          </w:pPr>
          <w:bookmarkStart w:id="1" w:name="bmkSymbols"/>
          <w:r>
            <w:rPr>
              <w:b/>
              <w:szCs w:val="16"/>
            </w:rPr>
            <w:t>G/SPS/N/CAN/1396/Add.2</w:t>
          </w:r>
          <w:bookmarkEnd w:id="1"/>
        </w:p>
      </w:tc>
    </w:tr>
    <w:tr w:rsidR="00FC78C2" w14:paraId="43D785D1" w14:textId="77777777" w:rsidTr="00B13A58">
      <w:trPr>
        <w:trHeight w:val="240"/>
        <w:jc w:val="center"/>
      </w:trPr>
      <w:tc>
        <w:tcPr>
          <w:tcW w:w="3794" w:type="dxa"/>
          <w:vMerge/>
          <w:shd w:val="clear" w:color="auto" w:fill="FFFFFF"/>
          <w:tcMar>
            <w:left w:w="108" w:type="dxa"/>
            <w:right w:w="108" w:type="dxa"/>
          </w:tcMar>
          <w:vAlign w:val="center"/>
        </w:tcPr>
        <w:p w14:paraId="65978DE1" w14:textId="77777777" w:rsidR="00ED54E0" w:rsidRPr="00AD0FDA" w:rsidRDefault="00ED54E0" w:rsidP="0081481D"/>
      </w:tc>
      <w:tc>
        <w:tcPr>
          <w:tcW w:w="5448" w:type="dxa"/>
          <w:gridSpan w:val="2"/>
          <w:shd w:val="clear" w:color="auto" w:fill="FFFFFF"/>
          <w:tcMar>
            <w:left w:w="108" w:type="dxa"/>
            <w:right w:w="108" w:type="dxa"/>
          </w:tcMar>
          <w:vAlign w:val="center"/>
        </w:tcPr>
        <w:p w14:paraId="022AED20" w14:textId="2CE32791" w:rsidR="00ED54E0" w:rsidRPr="00AD0FDA" w:rsidRDefault="00C554EB" w:rsidP="0081481D">
          <w:pPr>
            <w:jc w:val="right"/>
            <w:rPr>
              <w:szCs w:val="16"/>
            </w:rPr>
          </w:pPr>
          <w:bookmarkStart w:id="2" w:name="bmkDate"/>
          <w:bookmarkStart w:id="3" w:name="spsDateDistribution"/>
          <w:bookmarkEnd w:id="2"/>
          <w:bookmarkEnd w:id="3"/>
          <w:r>
            <w:rPr>
              <w:szCs w:val="16"/>
            </w:rPr>
            <w:t>5 July 2024</w:t>
          </w:r>
        </w:p>
      </w:tc>
    </w:tr>
    <w:tr w:rsidR="00FC78C2" w14:paraId="0C5B8AE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E358EAD" w14:textId="2FD822CA" w:rsidR="00ED54E0" w:rsidRPr="00AD0FDA" w:rsidRDefault="00C554EB"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F36664">
            <w:rPr>
              <w:color w:val="FF0000"/>
              <w:szCs w:val="16"/>
            </w:rPr>
            <w:t>-4941</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27AF54F9" w14:textId="77777777" w:rsidR="00ED54E0" w:rsidRPr="00AD0FDA" w:rsidRDefault="00C554EB"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FC78C2" w14:paraId="58132361"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EEDA853" w14:textId="77777777" w:rsidR="00ED54E0" w:rsidRPr="00AD0FDA" w:rsidRDefault="00C554EB"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6E5F4626" w14:textId="77777777" w:rsidR="00ED54E0" w:rsidRPr="00934B4C" w:rsidRDefault="00C554EB" w:rsidP="00F342EB">
          <w:pPr>
            <w:jc w:val="right"/>
            <w:rPr>
              <w:bCs/>
              <w:szCs w:val="18"/>
            </w:rPr>
          </w:pPr>
          <w:bookmarkStart w:id="8" w:name="bmkLanguage"/>
          <w:r>
            <w:rPr>
              <w:bCs/>
              <w:szCs w:val="18"/>
            </w:rPr>
            <w:t>Original: English/French</w:t>
          </w:r>
          <w:bookmarkEnd w:id="8"/>
        </w:p>
      </w:tc>
    </w:tr>
  </w:tbl>
  <w:p w14:paraId="71411893"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98EE776">
      <w:start w:val="1"/>
      <w:numFmt w:val="decimal"/>
      <w:pStyle w:val="SummaryText"/>
      <w:lvlText w:val="%1."/>
      <w:lvlJc w:val="left"/>
      <w:pPr>
        <w:ind w:left="360" w:hanging="360"/>
      </w:pPr>
    </w:lvl>
    <w:lvl w:ilvl="1" w:tplc="18467E88" w:tentative="1">
      <w:start w:val="1"/>
      <w:numFmt w:val="lowerLetter"/>
      <w:lvlText w:val="%2."/>
      <w:lvlJc w:val="left"/>
      <w:pPr>
        <w:ind w:left="1080" w:hanging="360"/>
      </w:pPr>
    </w:lvl>
    <w:lvl w:ilvl="2" w:tplc="B1D02914" w:tentative="1">
      <w:start w:val="1"/>
      <w:numFmt w:val="lowerRoman"/>
      <w:lvlText w:val="%3."/>
      <w:lvlJc w:val="right"/>
      <w:pPr>
        <w:ind w:left="1800" w:hanging="180"/>
      </w:pPr>
    </w:lvl>
    <w:lvl w:ilvl="3" w:tplc="5554F3DE" w:tentative="1">
      <w:start w:val="1"/>
      <w:numFmt w:val="decimal"/>
      <w:lvlText w:val="%4."/>
      <w:lvlJc w:val="left"/>
      <w:pPr>
        <w:ind w:left="2520" w:hanging="360"/>
      </w:pPr>
    </w:lvl>
    <w:lvl w:ilvl="4" w:tplc="4D701062" w:tentative="1">
      <w:start w:val="1"/>
      <w:numFmt w:val="lowerLetter"/>
      <w:lvlText w:val="%5."/>
      <w:lvlJc w:val="left"/>
      <w:pPr>
        <w:ind w:left="3240" w:hanging="360"/>
      </w:pPr>
    </w:lvl>
    <w:lvl w:ilvl="5" w:tplc="F9E42DD2" w:tentative="1">
      <w:start w:val="1"/>
      <w:numFmt w:val="lowerRoman"/>
      <w:lvlText w:val="%6."/>
      <w:lvlJc w:val="right"/>
      <w:pPr>
        <w:ind w:left="3960" w:hanging="180"/>
      </w:pPr>
    </w:lvl>
    <w:lvl w:ilvl="6" w:tplc="1C600D60" w:tentative="1">
      <w:start w:val="1"/>
      <w:numFmt w:val="decimal"/>
      <w:lvlText w:val="%7."/>
      <w:lvlJc w:val="left"/>
      <w:pPr>
        <w:ind w:left="4680" w:hanging="360"/>
      </w:pPr>
    </w:lvl>
    <w:lvl w:ilvl="7" w:tplc="88801674" w:tentative="1">
      <w:start w:val="1"/>
      <w:numFmt w:val="lowerLetter"/>
      <w:lvlText w:val="%8."/>
      <w:lvlJc w:val="left"/>
      <w:pPr>
        <w:ind w:left="5400" w:hanging="360"/>
      </w:pPr>
    </w:lvl>
    <w:lvl w:ilvl="8" w:tplc="CE40217C"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AC3AB494">
      <w:start w:val="1"/>
      <w:numFmt w:val="bullet"/>
      <w:lvlText w:val=""/>
      <w:lvlJc w:val="left"/>
      <w:pPr>
        <w:ind w:left="720" w:hanging="360"/>
      </w:pPr>
      <w:rPr>
        <w:rFonts w:ascii="Symbol" w:hAnsi="Symbol"/>
      </w:rPr>
    </w:lvl>
    <w:lvl w:ilvl="1" w:tplc="14FC47C4">
      <w:start w:val="1"/>
      <w:numFmt w:val="bullet"/>
      <w:lvlText w:val="o"/>
      <w:lvlJc w:val="left"/>
      <w:pPr>
        <w:tabs>
          <w:tab w:val="num" w:pos="1440"/>
        </w:tabs>
        <w:ind w:left="1440" w:hanging="360"/>
      </w:pPr>
      <w:rPr>
        <w:rFonts w:ascii="Courier New" w:hAnsi="Courier New"/>
      </w:rPr>
    </w:lvl>
    <w:lvl w:ilvl="2" w:tplc="7A0A40E2">
      <w:start w:val="1"/>
      <w:numFmt w:val="bullet"/>
      <w:lvlText w:val=""/>
      <w:lvlJc w:val="left"/>
      <w:pPr>
        <w:tabs>
          <w:tab w:val="num" w:pos="2160"/>
        </w:tabs>
        <w:ind w:left="2160" w:hanging="360"/>
      </w:pPr>
      <w:rPr>
        <w:rFonts w:ascii="Wingdings" w:hAnsi="Wingdings"/>
      </w:rPr>
    </w:lvl>
    <w:lvl w:ilvl="3" w:tplc="99247F4A">
      <w:start w:val="1"/>
      <w:numFmt w:val="bullet"/>
      <w:lvlText w:val=""/>
      <w:lvlJc w:val="left"/>
      <w:pPr>
        <w:tabs>
          <w:tab w:val="num" w:pos="2880"/>
        </w:tabs>
        <w:ind w:left="2880" w:hanging="360"/>
      </w:pPr>
      <w:rPr>
        <w:rFonts w:ascii="Symbol" w:hAnsi="Symbol"/>
      </w:rPr>
    </w:lvl>
    <w:lvl w:ilvl="4" w:tplc="DB6C4BF8">
      <w:start w:val="1"/>
      <w:numFmt w:val="bullet"/>
      <w:lvlText w:val="o"/>
      <w:lvlJc w:val="left"/>
      <w:pPr>
        <w:tabs>
          <w:tab w:val="num" w:pos="3600"/>
        </w:tabs>
        <w:ind w:left="3600" w:hanging="360"/>
      </w:pPr>
      <w:rPr>
        <w:rFonts w:ascii="Courier New" w:hAnsi="Courier New"/>
      </w:rPr>
    </w:lvl>
    <w:lvl w:ilvl="5" w:tplc="FF62DBF2">
      <w:start w:val="1"/>
      <w:numFmt w:val="bullet"/>
      <w:lvlText w:val=""/>
      <w:lvlJc w:val="left"/>
      <w:pPr>
        <w:tabs>
          <w:tab w:val="num" w:pos="4320"/>
        </w:tabs>
        <w:ind w:left="4320" w:hanging="360"/>
      </w:pPr>
      <w:rPr>
        <w:rFonts w:ascii="Wingdings" w:hAnsi="Wingdings"/>
      </w:rPr>
    </w:lvl>
    <w:lvl w:ilvl="6" w:tplc="6BAAB838">
      <w:start w:val="1"/>
      <w:numFmt w:val="bullet"/>
      <w:lvlText w:val=""/>
      <w:lvlJc w:val="left"/>
      <w:pPr>
        <w:tabs>
          <w:tab w:val="num" w:pos="5040"/>
        </w:tabs>
        <w:ind w:left="5040" w:hanging="360"/>
      </w:pPr>
      <w:rPr>
        <w:rFonts w:ascii="Symbol" w:hAnsi="Symbol"/>
      </w:rPr>
    </w:lvl>
    <w:lvl w:ilvl="7" w:tplc="C2363310">
      <w:start w:val="1"/>
      <w:numFmt w:val="bullet"/>
      <w:lvlText w:val="o"/>
      <w:lvlJc w:val="left"/>
      <w:pPr>
        <w:tabs>
          <w:tab w:val="num" w:pos="5760"/>
        </w:tabs>
        <w:ind w:left="5760" w:hanging="360"/>
      </w:pPr>
      <w:rPr>
        <w:rFonts w:ascii="Courier New" w:hAnsi="Courier New"/>
      </w:rPr>
    </w:lvl>
    <w:lvl w:ilvl="8" w:tplc="42701D76">
      <w:start w:val="1"/>
      <w:numFmt w:val="bullet"/>
      <w:lvlText w:val=""/>
      <w:lvlJc w:val="left"/>
      <w:pPr>
        <w:tabs>
          <w:tab w:val="num" w:pos="6480"/>
        </w:tabs>
        <w:ind w:left="6480" w:hanging="360"/>
      </w:pPr>
      <w:rPr>
        <w:rFonts w:ascii="Wingdings" w:hAnsi="Wingdings"/>
      </w:rPr>
    </w:lvl>
  </w:abstractNum>
  <w:num w:numId="1" w16cid:durableId="1247767590">
    <w:abstractNumId w:val="9"/>
  </w:num>
  <w:num w:numId="2" w16cid:durableId="1001733942">
    <w:abstractNumId w:val="7"/>
  </w:num>
  <w:num w:numId="3" w16cid:durableId="316152812">
    <w:abstractNumId w:val="6"/>
  </w:num>
  <w:num w:numId="4" w16cid:durableId="460417313">
    <w:abstractNumId w:val="5"/>
  </w:num>
  <w:num w:numId="5" w16cid:durableId="1988120094">
    <w:abstractNumId w:val="4"/>
  </w:num>
  <w:num w:numId="6" w16cid:durableId="2062946433">
    <w:abstractNumId w:val="12"/>
  </w:num>
  <w:num w:numId="7" w16cid:durableId="775490406">
    <w:abstractNumId w:val="11"/>
  </w:num>
  <w:num w:numId="8" w16cid:durableId="352732185">
    <w:abstractNumId w:val="10"/>
  </w:num>
  <w:num w:numId="9" w16cid:durableId="18500944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3256659">
    <w:abstractNumId w:val="13"/>
  </w:num>
  <w:num w:numId="11" w16cid:durableId="807166224">
    <w:abstractNumId w:val="8"/>
  </w:num>
  <w:num w:numId="12" w16cid:durableId="1645037212">
    <w:abstractNumId w:val="3"/>
  </w:num>
  <w:num w:numId="13" w16cid:durableId="808209488">
    <w:abstractNumId w:val="2"/>
  </w:num>
  <w:num w:numId="14" w16cid:durableId="161480812">
    <w:abstractNumId w:val="1"/>
  </w:num>
  <w:num w:numId="15" w16cid:durableId="831945572">
    <w:abstractNumId w:val="0"/>
  </w:num>
  <w:num w:numId="16" w16cid:durableId="13346054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679D6"/>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554EB"/>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48EB"/>
    <w:rsid w:val="00EB6C56"/>
    <w:rsid w:val="00ED54E0"/>
    <w:rsid w:val="00EF29E8"/>
    <w:rsid w:val="00F32397"/>
    <w:rsid w:val="00F342EB"/>
    <w:rsid w:val="00F36664"/>
    <w:rsid w:val="00F40595"/>
    <w:rsid w:val="00FA5EBC"/>
    <w:rsid w:val="00FC78C2"/>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D8975B"/>
  <w15:docId w15:val="{C676AF7F-0A21-4974-9BCA-CC063A383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canadagazette.gc.ca/rp-pr/p2/2024/2024-07-03/html/sor-dors132-eng.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quirypoint@international.gc.ca"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2d0331a0-4fa6-40d5-acf5-fed9aa7be390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F80EFC9-9C42-4AB9-8969-418BBCB87963}">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Fernandes, Francisca</cp:lastModifiedBy>
  <cp:revision>8</cp:revision>
  <dcterms:created xsi:type="dcterms:W3CDTF">2018-10-15T07:09:00Z</dcterms:created>
  <dcterms:modified xsi:type="dcterms:W3CDTF">2024-07-05T06:48:00Z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G/SPS/N/CAN/1396/Add.2</vt:lpwstr>
  </property>
  <property fmtid="{D5CDD505-2E9C-101B-9397-08002B2CF9AE}" pid="3" name="TitusGUID">
    <vt:lpwstr>2d0331a0-4fa6-40d5-acf5-fed9aa7be390</vt:lpwstr>
  </property>
  <property fmtid="{D5CDD505-2E9C-101B-9397-08002B2CF9AE}" pid="4" name="WTOCLASSIFICATION">
    <vt:lpwstr>WTO OFFICIAL</vt:lpwstr>
  </property>
</Properties>
</file>