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6E1B" w14:textId="77777777" w:rsidR="00EA4725" w:rsidRPr="00441372" w:rsidRDefault="00F70DF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92747" w14:paraId="260B4455" w14:textId="77777777" w:rsidTr="00F3021D">
        <w:tc>
          <w:tcPr>
            <w:tcW w:w="707" w:type="dxa"/>
            <w:tcBorders>
              <w:bottom w:val="single" w:sz="6" w:space="0" w:color="auto"/>
            </w:tcBorders>
            <w:shd w:val="clear" w:color="auto" w:fill="auto"/>
          </w:tcPr>
          <w:p w14:paraId="4674BD87" w14:textId="77777777" w:rsidR="00EA4725" w:rsidRPr="00441372" w:rsidRDefault="00F70DFE" w:rsidP="00441372">
            <w:pPr>
              <w:spacing w:before="120" w:after="120"/>
              <w:jc w:val="left"/>
            </w:pPr>
            <w:r w:rsidRPr="00441372">
              <w:rPr>
                <w:b/>
              </w:rPr>
              <w:t>1.</w:t>
            </w:r>
          </w:p>
        </w:tc>
        <w:tc>
          <w:tcPr>
            <w:tcW w:w="8320" w:type="dxa"/>
            <w:tcBorders>
              <w:bottom w:val="single" w:sz="6" w:space="0" w:color="auto"/>
            </w:tcBorders>
            <w:shd w:val="clear" w:color="auto" w:fill="auto"/>
          </w:tcPr>
          <w:p w14:paraId="0797B4F8" w14:textId="77777777" w:rsidR="00EA4725" w:rsidRPr="00441372" w:rsidRDefault="00F70DF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2064829" w14:textId="77777777" w:rsidR="00EA4725" w:rsidRPr="00441372" w:rsidRDefault="00F70DF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92747" w14:paraId="1E5B9D5E" w14:textId="77777777" w:rsidTr="00F3021D">
        <w:tc>
          <w:tcPr>
            <w:tcW w:w="707" w:type="dxa"/>
            <w:tcBorders>
              <w:top w:val="single" w:sz="6" w:space="0" w:color="auto"/>
              <w:bottom w:val="single" w:sz="6" w:space="0" w:color="auto"/>
            </w:tcBorders>
            <w:shd w:val="clear" w:color="auto" w:fill="auto"/>
          </w:tcPr>
          <w:p w14:paraId="194938E3" w14:textId="77777777" w:rsidR="00EA4725" w:rsidRPr="00441372" w:rsidRDefault="00F70DF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918254C" w14:textId="77777777" w:rsidR="00EA4725" w:rsidRPr="00441372" w:rsidRDefault="00F70DFE"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D92747" w14:paraId="4B130D9D" w14:textId="77777777" w:rsidTr="00F3021D">
        <w:tc>
          <w:tcPr>
            <w:tcW w:w="707" w:type="dxa"/>
            <w:tcBorders>
              <w:top w:val="single" w:sz="6" w:space="0" w:color="auto"/>
              <w:bottom w:val="single" w:sz="6" w:space="0" w:color="auto"/>
            </w:tcBorders>
            <w:shd w:val="clear" w:color="auto" w:fill="auto"/>
          </w:tcPr>
          <w:p w14:paraId="3BB0E0F0" w14:textId="77777777" w:rsidR="00EA4725" w:rsidRPr="00441372" w:rsidRDefault="00F70DF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B21D19" w14:textId="77777777" w:rsidR="00EA4725" w:rsidRPr="00441372" w:rsidRDefault="00F70DF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Wine products</w:t>
            </w:r>
            <w:bookmarkStart w:id="7" w:name="sps3a"/>
            <w:bookmarkEnd w:id="7"/>
          </w:p>
        </w:tc>
      </w:tr>
      <w:tr w:rsidR="00D92747" w14:paraId="4122D8D8" w14:textId="77777777" w:rsidTr="00F3021D">
        <w:tc>
          <w:tcPr>
            <w:tcW w:w="707" w:type="dxa"/>
            <w:tcBorders>
              <w:top w:val="single" w:sz="6" w:space="0" w:color="auto"/>
              <w:bottom w:val="single" w:sz="6" w:space="0" w:color="auto"/>
            </w:tcBorders>
            <w:shd w:val="clear" w:color="auto" w:fill="auto"/>
          </w:tcPr>
          <w:p w14:paraId="34FE2F74" w14:textId="77777777" w:rsidR="00EA4725" w:rsidRPr="00441372" w:rsidRDefault="00F70DF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66F52CE" w14:textId="77777777" w:rsidR="00EA4725" w:rsidRPr="00441372" w:rsidRDefault="00F70DF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7C85E42" w14:textId="77777777" w:rsidR="00EA4725" w:rsidRPr="00441372" w:rsidRDefault="00F70DF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CD4F75F" w14:textId="77777777" w:rsidR="00EA4725" w:rsidRPr="00441372" w:rsidRDefault="00F70DF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92747" w14:paraId="0CA1AB1F" w14:textId="77777777" w:rsidTr="00F3021D">
        <w:tc>
          <w:tcPr>
            <w:tcW w:w="707" w:type="dxa"/>
            <w:tcBorders>
              <w:top w:val="single" w:sz="6" w:space="0" w:color="auto"/>
              <w:bottom w:val="single" w:sz="6" w:space="0" w:color="auto"/>
            </w:tcBorders>
            <w:shd w:val="clear" w:color="auto" w:fill="auto"/>
          </w:tcPr>
          <w:p w14:paraId="70E5AE82" w14:textId="77777777" w:rsidR="00EA4725" w:rsidRPr="00441372" w:rsidRDefault="00F70DF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6649B7A" w14:textId="77777777" w:rsidR="00EA4725" w:rsidRPr="00441372" w:rsidRDefault="00F70DFE"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Delegated Regulation amending Delegated Regulation (EU) 2019/934 supplementing Regulation (EU) No 1308/2013 of the European Parliament and of the Council as regards authorised oenological practices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30, including the Annexes</w:t>
            </w:r>
            <w:bookmarkEnd w:id="20"/>
          </w:p>
          <w:p w14:paraId="4CAD60AD" w14:textId="77777777" w:rsidR="00EA4725" w:rsidRPr="00441372" w:rsidRDefault="003D55E2" w:rsidP="00441372">
            <w:hyperlink r:id="rId7" w:tgtFrame="_blank" w:history="1">
              <w:r w:rsidR="00F70DFE" w:rsidRPr="00441372">
                <w:rPr>
                  <w:color w:val="0000FF"/>
                  <w:u w:val="single"/>
                </w:rPr>
                <w:t>https://members.wto.org/crnattachments/2021/SPS/EEC/21_3505_01_e.pdf</w:t>
              </w:r>
            </w:hyperlink>
          </w:p>
          <w:p w14:paraId="3262A005" w14:textId="77777777" w:rsidR="003D4E91" w:rsidRPr="00441372" w:rsidRDefault="003D55E2" w:rsidP="00441372">
            <w:pPr>
              <w:spacing w:after="120"/>
            </w:pPr>
            <w:hyperlink r:id="rId8" w:tgtFrame="_blank" w:history="1">
              <w:r w:rsidR="00F70DFE" w:rsidRPr="00441372">
                <w:rPr>
                  <w:color w:val="0000FF"/>
                  <w:u w:val="single"/>
                </w:rPr>
                <w:t>https://members.wto.org/crnattachments/2021/SPS/EEC/21_3505_00_e.pdf</w:t>
              </w:r>
            </w:hyperlink>
            <w:bookmarkStart w:id="21" w:name="sps5d"/>
            <w:bookmarkEnd w:id="21"/>
          </w:p>
        </w:tc>
      </w:tr>
      <w:tr w:rsidR="00D92747" w14:paraId="4E1D81B0" w14:textId="77777777" w:rsidTr="00F3021D">
        <w:tc>
          <w:tcPr>
            <w:tcW w:w="707" w:type="dxa"/>
            <w:tcBorders>
              <w:top w:val="single" w:sz="6" w:space="0" w:color="auto"/>
              <w:bottom w:val="single" w:sz="6" w:space="0" w:color="auto"/>
            </w:tcBorders>
            <w:shd w:val="clear" w:color="auto" w:fill="auto"/>
          </w:tcPr>
          <w:p w14:paraId="312E8CCB" w14:textId="77777777" w:rsidR="00EA4725" w:rsidRPr="00441372" w:rsidRDefault="00F70DF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1DC1AFD" w14:textId="77777777" w:rsidR="00EA4725" w:rsidRPr="00441372" w:rsidRDefault="00F70DFE" w:rsidP="00441372">
            <w:pPr>
              <w:spacing w:before="120" w:after="120"/>
            </w:pPr>
            <w:bookmarkStart w:id="22" w:name="X_SPS_Reg_6A"/>
            <w:r w:rsidRPr="00441372">
              <w:rPr>
                <w:b/>
              </w:rPr>
              <w:t>Description of content</w:t>
            </w:r>
            <w:bookmarkEnd w:id="22"/>
            <w:r w:rsidRPr="00441372">
              <w:rPr>
                <w:b/>
              </w:rPr>
              <w:t>:</w:t>
            </w:r>
            <w:r w:rsidRPr="0065690F">
              <w:t xml:space="preserve"> Commission Delegated Regulation (EU) 2019/934 supplements Regulation (EU) No 1308/2013 as regards rules that are necessary to ensure the proper functioning of the internal market for grapevine products. In particular, it defines in a clear and precise manner the permitted oenological practices including the methods for sweetening wines, the limits on the use of certain substances that may be used for wine-making and the conditions for using some of those substances for wine-making. It also aligns certain provisions with relevant international standards, namely the International Code of Oenological Practices and the International Oenological Codex of the International Organisation of Vine and Wine (OIV), as regards its Annex IA.</w:t>
            </w:r>
          </w:p>
          <w:p w14:paraId="5404548B" w14:textId="77777777" w:rsidR="003D4E91" w:rsidRPr="0065690F" w:rsidRDefault="00F70DFE" w:rsidP="00441372">
            <w:pPr>
              <w:spacing w:after="120"/>
            </w:pPr>
            <w:r w:rsidRPr="0065690F">
              <w:t>The draft Commission Delegated Regulation amending Delegated Regulation (EU) 2019/934 introduces new oenological practices on the basis of resolutions adopted in 2019 and 2020 by the OIV. It also provides clarifications on, and improves consistency of, some of the existing provisions. Lastly, it withdraws the authorisation of DL tartaric acid in the light of its observed nephrotoxic effects.</w:t>
            </w:r>
          </w:p>
          <w:p w14:paraId="452C4345" w14:textId="77777777" w:rsidR="003D4E91" w:rsidRPr="0065690F" w:rsidRDefault="00F70DFE" w:rsidP="00441372">
            <w:pPr>
              <w:spacing w:after="120"/>
            </w:pPr>
            <w:r w:rsidRPr="0065690F">
              <w:t>Please note that elements pertaining to intellectual property rights, in particular to the application and/or implementation of Geographical Indications (GIs) are included in this notification as part of a legislative package but clearly fall outside the scope of the SPS agreement.</w:t>
            </w:r>
            <w:bookmarkStart w:id="23" w:name="sps6a"/>
            <w:bookmarkEnd w:id="23"/>
          </w:p>
        </w:tc>
      </w:tr>
      <w:tr w:rsidR="00D92747" w14:paraId="4168224D" w14:textId="77777777" w:rsidTr="00F3021D">
        <w:tc>
          <w:tcPr>
            <w:tcW w:w="707" w:type="dxa"/>
            <w:tcBorders>
              <w:top w:val="single" w:sz="6" w:space="0" w:color="auto"/>
              <w:bottom w:val="single" w:sz="6" w:space="0" w:color="auto"/>
            </w:tcBorders>
            <w:shd w:val="clear" w:color="auto" w:fill="auto"/>
          </w:tcPr>
          <w:p w14:paraId="5D050BB0" w14:textId="77777777" w:rsidR="00EA4725" w:rsidRPr="00441372" w:rsidRDefault="00F70DF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59E351B" w14:textId="77777777" w:rsidR="00EA4725" w:rsidRPr="00441372" w:rsidRDefault="00F70DF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92747" w14:paraId="4B44DCD8" w14:textId="77777777" w:rsidTr="00F3021D">
        <w:tc>
          <w:tcPr>
            <w:tcW w:w="707" w:type="dxa"/>
            <w:tcBorders>
              <w:top w:val="single" w:sz="6" w:space="0" w:color="auto"/>
              <w:bottom w:val="single" w:sz="6" w:space="0" w:color="auto"/>
            </w:tcBorders>
            <w:shd w:val="clear" w:color="auto" w:fill="auto"/>
          </w:tcPr>
          <w:p w14:paraId="52F8C77A" w14:textId="77777777" w:rsidR="00EA4725" w:rsidRPr="00441372" w:rsidRDefault="00F70DF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D09758E" w14:textId="77777777" w:rsidR="00EA4725" w:rsidRPr="00441372" w:rsidRDefault="00F70DF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EEF8115" w14:textId="77777777" w:rsidR="00EA4725" w:rsidRPr="00441372" w:rsidRDefault="00F70DFE" w:rsidP="00441372">
            <w:pPr>
              <w:spacing w:after="120"/>
              <w:ind w:left="720" w:hanging="720"/>
            </w:pPr>
            <w:r w:rsidRPr="00441372">
              <w:rPr>
                <w:b/>
              </w:rPr>
              <w:lastRenderedPageBreak/>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537DAD2" w14:textId="77777777" w:rsidR="00EA4725" w:rsidRPr="00441372" w:rsidRDefault="00F70DF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AD27C1C" w14:textId="77777777" w:rsidR="00EA4725" w:rsidRPr="00441372" w:rsidRDefault="00F70DF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7F02580" w14:textId="77777777" w:rsidR="00EA4725" w:rsidRPr="00441372" w:rsidRDefault="00F70DF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2DB658F" w14:textId="77777777" w:rsidR="00EA4725" w:rsidRPr="00441372" w:rsidRDefault="00F70DF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5D3F26B" w14:textId="77777777" w:rsidR="00EA4725" w:rsidRPr="00441372" w:rsidRDefault="00F70DF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F07DA0C" w14:textId="77777777" w:rsidR="00EA4725" w:rsidRPr="00441372" w:rsidRDefault="00F70DF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This proposed regulation provides for the withdrawal of the authorisation of DL tartaric acid, in the light of a recent Scientific Opinion of the European Food Safety Authority which identified a level of toxicity of this compound to kidneys. The OIV currently maintains the authorisation of DL tartaric acid.</w:t>
            </w:r>
            <w:bookmarkEnd w:id="54"/>
          </w:p>
        </w:tc>
      </w:tr>
      <w:tr w:rsidR="00D92747" w14:paraId="3ABDFEAC" w14:textId="77777777" w:rsidTr="00F3021D">
        <w:tc>
          <w:tcPr>
            <w:tcW w:w="707" w:type="dxa"/>
            <w:tcBorders>
              <w:top w:val="single" w:sz="6" w:space="0" w:color="auto"/>
              <w:bottom w:val="single" w:sz="6" w:space="0" w:color="auto"/>
            </w:tcBorders>
            <w:shd w:val="clear" w:color="auto" w:fill="auto"/>
          </w:tcPr>
          <w:p w14:paraId="2BD9262F" w14:textId="77777777" w:rsidR="00EA4725" w:rsidRPr="00441372" w:rsidRDefault="00F70DF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49A9923" w14:textId="2100B362" w:rsidR="00EA4725" w:rsidRPr="00441372" w:rsidRDefault="00F70DFE"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Regulation (EU) No 1308/2013 of the European Parliament and of the Council of 17</w:t>
            </w:r>
            <w:r>
              <w:t> </w:t>
            </w:r>
            <w:r w:rsidRPr="0065690F">
              <w:t>December 2013 establishing a common organisation of the markets in agricultural products and repealing Council Regulations (EEC) No 922/72, (EEC) No 234/79, (EC) No 1037/2001 and (EC) No 1234/2007 (OJ L 347, 20.12.2013, p. 671-854).</w:t>
            </w:r>
          </w:p>
          <w:p w14:paraId="79F1B92A" w14:textId="77777777" w:rsidR="003D4E91" w:rsidRPr="0065690F" w:rsidRDefault="003D55E2" w:rsidP="00441372">
            <w:pPr>
              <w:spacing w:before="120"/>
            </w:pPr>
            <w:hyperlink r:id="rId9" w:tgtFrame="_blank" w:history="1">
              <w:r w:rsidR="00F70DFE" w:rsidRPr="0065690F">
                <w:rPr>
                  <w:color w:val="0000FF"/>
                  <w:u w:val="single"/>
                </w:rPr>
                <w:t>http://eur-lex.europa.eu/legal-content/EN/TXT/?qid=1502976703496&amp;uri=CELEX:32013R1308</w:t>
              </w:r>
            </w:hyperlink>
          </w:p>
          <w:p w14:paraId="49597E36" w14:textId="77777777" w:rsidR="003D4E91" w:rsidRPr="0065690F" w:rsidRDefault="00F70DFE" w:rsidP="00441372">
            <w:pPr>
              <w:spacing w:before="120"/>
            </w:pPr>
            <w:r w:rsidRPr="0065690F">
              <w:t>Commission Delegated Regulation (EU) 2019/934 of 12 March 2019 supplementing Regulation (EU) No 1308/2013 of the European Parliament and of the Council as regards wine-growing areas where the alcoholic strength may be increased, authorised oenological practices and restrictions applicable to the production and conservation of grapevine products, the minimum percentage of alcohol for by-products and their disposal, and publication of OIV files (OJ L 149, 7.6.2019, p. 1).</w:t>
            </w:r>
          </w:p>
          <w:p w14:paraId="094BC47F" w14:textId="77777777" w:rsidR="003D4E91" w:rsidRPr="0065690F" w:rsidRDefault="003D55E2" w:rsidP="00441372">
            <w:pPr>
              <w:spacing w:before="120" w:after="120"/>
            </w:pPr>
            <w:hyperlink r:id="rId10" w:tgtFrame="_blank" w:history="1">
              <w:r w:rsidR="00F70DFE" w:rsidRPr="0065690F">
                <w:rPr>
                  <w:color w:val="0000FF"/>
                  <w:u w:val="single"/>
                </w:rPr>
                <w:t>https://eur-lex.europa.eu/legal-content/EN/TXT/PDF/?uri=CELEX:02019R0934-20190627&amp;qid=1613637400178&amp;from=EN</w:t>
              </w:r>
            </w:hyperlink>
            <w:bookmarkStart w:id="56" w:name="sps9a"/>
            <w:bookmarkEnd w:id="56"/>
            <w:r w:rsidR="00F70DFE" w:rsidRPr="0065690F">
              <w:rPr>
                <w:bCs/>
              </w:rPr>
              <w:t xml:space="preserve"> </w:t>
            </w:r>
            <w:bookmarkStart w:id="57" w:name="sps9b"/>
            <w:bookmarkEnd w:id="57"/>
          </w:p>
        </w:tc>
      </w:tr>
      <w:tr w:rsidR="00D92747" w14:paraId="2F36320B" w14:textId="77777777" w:rsidTr="00F3021D">
        <w:tc>
          <w:tcPr>
            <w:tcW w:w="707" w:type="dxa"/>
            <w:tcBorders>
              <w:top w:val="single" w:sz="6" w:space="0" w:color="auto"/>
              <w:bottom w:val="single" w:sz="6" w:space="0" w:color="auto"/>
            </w:tcBorders>
            <w:shd w:val="clear" w:color="auto" w:fill="auto"/>
          </w:tcPr>
          <w:p w14:paraId="25DFF1B7" w14:textId="77777777" w:rsidR="00EA4725" w:rsidRPr="00441372" w:rsidRDefault="00F70DF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B48BC2B" w14:textId="77777777" w:rsidR="00EA4725" w:rsidRPr="00441372" w:rsidRDefault="00F70DF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August/September 2021</w:t>
            </w:r>
            <w:bookmarkStart w:id="59" w:name="sps10a"/>
            <w:bookmarkEnd w:id="59"/>
          </w:p>
          <w:p w14:paraId="50678A6C" w14:textId="77777777" w:rsidR="00EA4725" w:rsidRPr="00441372" w:rsidRDefault="00F70DF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October/November 2021</w:t>
            </w:r>
            <w:bookmarkStart w:id="61" w:name="sps10bisa"/>
            <w:bookmarkEnd w:id="61"/>
          </w:p>
        </w:tc>
      </w:tr>
      <w:tr w:rsidR="00D92747" w14:paraId="4136F7C4" w14:textId="77777777" w:rsidTr="00F3021D">
        <w:tc>
          <w:tcPr>
            <w:tcW w:w="707" w:type="dxa"/>
            <w:tcBorders>
              <w:top w:val="single" w:sz="6" w:space="0" w:color="auto"/>
              <w:bottom w:val="single" w:sz="6" w:space="0" w:color="auto"/>
            </w:tcBorders>
            <w:shd w:val="clear" w:color="auto" w:fill="auto"/>
          </w:tcPr>
          <w:p w14:paraId="4D2A9D8C" w14:textId="77777777" w:rsidR="00EA4725" w:rsidRPr="00441372" w:rsidRDefault="00F70DF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EADD9F" w14:textId="77777777" w:rsidR="00EA4725" w:rsidRPr="00441372" w:rsidRDefault="00F70DF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p>
          <w:p w14:paraId="2B450DD5" w14:textId="77777777" w:rsidR="003D4E91" w:rsidRPr="0065690F" w:rsidRDefault="00F70DFE" w:rsidP="00441372">
            <w:pPr>
              <w:spacing w:before="120" w:after="120"/>
            </w:pPr>
            <w:r w:rsidRPr="0065690F">
              <w:t>The withdrawal of the authorisation of DL tartaric acid and its neutral salt of potassium and the amendment of Appendix 4 to Annex I to Delegated Regulation (EU) 2019/934 shall apply from six months after the date of entry into force of this Regulation.</w:t>
            </w:r>
            <w:bookmarkStart w:id="65" w:name="sps11a"/>
            <w:bookmarkEnd w:id="65"/>
          </w:p>
          <w:p w14:paraId="13305B9B" w14:textId="77777777" w:rsidR="00EA4725" w:rsidRPr="00441372" w:rsidRDefault="00F70DF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92747" w:rsidRPr="003D55E2" w14:paraId="440BFB0D" w14:textId="77777777" w:rsidTr="00F3021D">
        <w:tc>
          <w:tcPr>
            <w:tcW w:w="707" w:type="dxa"/>
            <w:tcBorders>
              <w:top w:val="single" w:sz="6" w:space="0" w:color="auto"/>
              <w:bottom w:val="single" w:sz="6" w:space="0" w:color="auto"/>
            </w:tcBorders>
            <w:shd w:val="clear" w:color="auto" w:fill="auto"/>
          </w:tcPr>
          <w:p w14:paraId="74CBE55A" w14:textId="77777777" w:rsidR="00EA4725" w:rsidRPr="00441372" w:rsidRDefault="00F70DF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D2AB504" w14:textId="77777777" w:rsidR="00EA4725" w:rsidRPr="00441372" w:rsidRDefault="00F70DF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July 2021</w:t>
            </w:r>
            <w:bookmarkEnd w:id="72"/>
          </w:p>
          <w:p w14:paraId="7A6F3616" w14:textId="77777777" w:rsidR="00EA4725" w:rsidRPr="00441372" w:rsidRDefault="00F70DF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77AEFD1" w14:textId="77777777" w:rsidR="003D4E91" w:rsidRPr="0065690F" w:rsidRDefault="00F70DFE" w:rsidP="00441372">
            <w:r w:rsidRPr="0065690F">
              <w:t>European Commission</w:t>
            </w:r>
          </w:p>
          <w:p w14:paraId="624EE849" w14:textId="77777777" w:rsidR="003D4E91" w:rsidRPr="0065690F" w:rsidRDefault="00F70DFE" w:rsidP="00441372">
            <w:r w:rsidRPr="0065690F">
              <w:t>DG Health and Food Safety, Unit D2-Multilateral International Relations</w:t>
            </w:r>
          </w:p>
          <w:p w14:paraId="08321DAD" w14:textId="77777777" w:rsidR="003D4E91" w:rsidRPr="00F70DFE" w:rsidRDefault="00F70DFE" w:rsidP="00441372">
            <w:pPr>
              <w:rPr>
                <w:lang w:val="fr-FR"/>
              </w:rPr>
            </w:pPr>
            <w:r w:rsidRPr="00F70DFE">
              <w:rPr>
                <w:lang w:val="fr-FR"/>
              </w:rPr>
              <w:t>Rue Froissart 101</w:t>
            </w:r>
          </w:p>
          <w:p w14:paraId="05A93192" w14:textId="77777777" w:rsidR="003D4E91" w:rsidRPr="00F70DFE" w:rsidRDefault="00F70DFE" w:rsidP="00441372">
            <w:pPr>
              <w:rPr>
                <w:lang w:val="fr-FR"/>
              </w:rPr>
            </w:pPr>
            <w:r w:rsidRPr="00F70DFE">
              <w:rPr>
                <w:lang w:val="fr-FR"/>
              </w:rPr>
              <w:t>B-1049 Brussels</w:t>
            </w:r>
          </w:p>
          <w:p w14:paraId="46DF5899" w14:textId="77777777" w:rsidR="003D4E91" w:rsidRPr="00F70DFE" w:rsidRDefault="00F70DFE" w:rsidP="00441372">
            <w:pPr>
              <w:rPr>
                <w:lang w:val="fr-FR"/>
              </w:rPr>
            </w:pPr>
            <w:r w:rsidRPr="00F70DFE">
              <w:rPr>
                <w:lang w:val="fr-FR"/>
              </w:rPr>
              <w:t>Tel: +(32 2) 29 54263</w:t>
            </w:r>
          </w:p>
          <w:p w14:paraId="0156C605" w14:textId="77777777" w:rsidR="003D4E91" w:rsidRPr="00F70DFE" w:rsidRDefault="00F70DFE" w:rsidP="00441372">
            <w:pPr>
              <w:rPr>
                <w:lang w:val="fr-FR"/>
              </w:rPr>
            </w:pPr>
            <w:r w:rsidRPr="00F70DFE">
              <w:rPr>
                <w:lang w:val="fr-FR"/>
              </w:rPr>
              <w:t>Fax: +(32 2) 29 98090</w:t>
            </w:r>
          </w:p>
          <w:p w14:paraId="78F75886" w14:textId="77777777" w:rsidR="003D4E91" w:rsidRPr="00F70DFE" w:rsidRDefault="00F70DFE" w:rsidP="00441372">
            <w:pPr>
              <w:spacing w:after="120"/>
              <w:rPr>
                <w:lang w:val="fr-FR"/>
              </w:rPr>
            </w:pPr>
            <w:r w:rsidRPr="00F70DFE">
              <w:rPr>
                <w:lang w:val="fr-FR"/>
              </w:rPr>
              <w:t>E-mail: sps@ec.europa.eu</w:t>
            </w:r>
            <w:bookmarkStart w:id="79" w:name="sps12d"/>
            <w:bookmarkEnd w:id="79"/>
          </w:p>
        </w:tc>
      </w:tr>
      <w:tr w:rsidR="00D92747" w:rsidRPr="003D55E2" w14:paraId="2E5727C3" w14:textId="77777777" w:rsidTr="00F3021D">
        <w:tc>
          <w:tcPr>
            <w:tcW w:w="707" w:type="dxa"/>
            <w:tcBorders>
              <w:top w:val="single" w:sz="6" w:space="0" w:color="auto"/>
            </w:tcBorders>
            <w:shd w:val="clear" w:color="auto" w:fill="auto"/>
          </w:tcPr>
          <w:p w14:paraId="1AAAF62B" w14:textId="77777777" w:rsidR="00EA4725" w:rsidRPr="00441372" w:rsidRDefault="00F70DFE"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2BB29E4C" w14:textId="77777777" w:rsidR="00EA4725" w:rsidRPr="00441372" w:rsidRDefault="00F70DF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E6F98CE" w14:textId="77777777" w:rsidR="00EA4725" w:rsidRPr="0065690F" w:rsidRDefault="00F70DFE" w:rsidP="00F3021D">
            <w:pPr>
              <w:keepNext/>
              <w:keepLines/>
              <w:rPr>
                <w:bCs/>
              </w:rPr>
            </w:pPr>
            <w:r w:rsidRPr="0065690F">
              <w:rPr>
                <w:bCs/>
              </w:rPr>
              <w:t>European Commission</w:t>
            </w:r>
          </w:p>
          <w:p w14:paraId="1A4616D1" w14:textId="77777777" w:rsidR="00EA4725" w:rsidRPr="0065690F" w:rsidRDefault="00F70DFE" w:rsidP="00F3021D">
            <w:pPr>
              <w:keepNext/>
              <w:keepLines/>
              <w:rPr>
                <w:bCs/>
              </w:rPr>
            </w:pPr>
            <w:r w:rsidRPr="0065690F">
              <w:rPr>
                <w:bCs/>
              </w:rPr>
              <w:t>DG Health and Food Safety, Unit D2-Multilateral International Relations</w:t>
            </w:r>
          </w:p>
          <w:p w14:paraId="0DE60CB2" w14:textId="77777777" w:rsidR="00EA4725" w:rsidRPr="00F70DFE" w:rsidRDefault="00F70DFE" w:rsidP="00F3021D">
            <w:pPr>
              <w:keepNext/>
              <w:keepLines/>
              <w:rPr>
                <w:bCs/>
                <w:lang w:val="fr-FR"/>
              </w:rPr>
            </w:pPr>
            <w:r w:rsidRPr="00F70DFE">
              <w:rPr>
                <w:bCs/>
                <w:lang w:val="fr-FR"/>
              </w:rPr>
              <w:t>Rue Froissart 101</w:t>
            </w:r>
          </w:p>
          <w:p w14:paraId="4D81C80E" w14:textId="77777777" w:rsidR="00EA4725" w:rsidRPr="00F70DFE" w:rsidRDefault="00F70DFE" w:rsidP="00F3021D">
            <w:pPr>
              <w:keepNext/>
              <w:keepLines/>
              <w:rPr>
                <w:bCs/>
                <w:lang w:val="fr-FR"/>
              </w:rPr>
            </w:pPr>
            <w:r w:rsidRPr="00F70DFE">
              <w:rPr>
                <w:bCs/>
                <w:lang w:val="fr-FR"/>
              </w:rPr>
              <w:t>B-1049 Brussels</w:t>
            </w:r>
          </w:p>
          <w:p w14:paraId="06E48E31" w14:textId="77777777" w:rsidR="00EA4725" w:rsidRPr="00F70DFE" w:rsidRDefault="00F70DFE" w:rsidP="00F3021D">
            <w:pPr>
              <w:keepNext/>
              <w:keepLines/>
              <w:rPr>
                <w:bCs/>
                <w:lang w:val="fr-FR"/>
              </w:rPr>
            </w:pPr>
            <w:r w:rsidRPr="00F70DFE">
              <w:rPr>
                <w:bCs/>
                <w:lang w:val="fr-FR"/>
              </w:rPr>
              <w:t>Tel: +(32 2) 29 54263</w:t>
            </w:r>
          </w:p>
          <w:p w14:paraId="092F9DC2" w14:textId="77777777" w:rsidR="00EA4725" w:rsidRPr="00F70DFE" w:rsidRDefault="00F70DFE" w:rsidP="00F3021D">
            <w:pPr>
              <w:keepNext/>
              <w:keepLines/>
              <w:rPr>
                <w:bCs/>
                <w:lang w:val="fr-FR"/>
              </w:rPr>
            </w:pPr>
            <w:r w:rsidRPr="00F70DFE">
              <w:rPr>
                <w:bCs/>
                <w:lang w:val="fr-FR"/>
              </w:rPr>
              <w:t>Fax: +(32 2) 29 98090</w:t>
            </w:r>
          </w:p>
          <w:p w14:paraId="02C3D88C" w14:textId="77777777" w:rsidR="00EA4725" w:rsidRPr="00F70DFE" w:rsidRDefault="00F70DFE" w:rsidP="00F3021D">
            <w:pPr>
              <w:keepNext/>
              <w:keepLines/>
              <w:spacing w:after="120"/>
              <w:rPr>
                <w:bCs/>
                <w:lang w:val="fr-FR"/>
              </w:rPr>
            </w:pPr>
            <w:r w:rsidRPr="00F70DFE">
              <w:rPr>
                <w:bCs/>
                <w:lang w:val="fr-FR"/>
              </w:rPr>
              <w:t>E-mail: sps@ec.europa.eu</w:t>
            </w:r>
            <w:bookmarkStart w:id="86" w:name="sps13c"/>
            <w:bookmarkEnd w:id="86"/>
          </w:p>
        </w:tc>
      </w:tr>
    </w:tbl>
    <w:p w14:paraId="609D2075" w14:textId="77777777" w:rsidR="007141CF" w:rsidRPr="00F70DFE" w:rsidRDefault="007141CF" w:rsidP="00441372">
      <w:pPr>
        <w:rPr>
          <w:lang w:val="fr-FR"/>
        </w:rPr>
      </w:pPr>
    </w:p>
    <w:sectPr w:rsidR="007141CF" w:rsidRPr="00F70DFE" w:rsidSect="0017188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0D90" w14:textId="77777777" w:rsidR="00C72925" w:rsidRDefault="00F70DFE">
      <w:r>
        <w:separator/>
      </w:r>
    </w:p>
  </w:endnote>
  <w:endnote w:type="continuationSeparator" w:id="0">
    <w:p w14:paraId="572AE0C3" w14:textId="77777777" w:rsidR="00C72925" w:rsidRDefault="00F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EE12" w14:textId="320FC2DF" w:rsidR="00EA4725" w:rsidRPr="00171886" w:rsidRDefault="00F70DFE" w:rsidP="001718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769A" w14:textId="4BF0170E" w:rsidR="00EA4725" w:rsidRPr="00171886" w:rsidRDefault="00F70DFE" w:rsidP="001718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A42C" w14:textId="77777777" w:rsidR="00C863EB" w:rsidRPr="00441372" w:rsidRDefault="00F70DF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CCC7" w14:textId="77777777" w:rsidR="00C72925" w:rsidRDefault="00F70DFE">
      <w:r>
        <w:separator/>
      </w:r>
    </w:p>
  </w:footnote>
  <w:footnote w:type="continuationSeparator" w:id="0">
    <w:p w14:paraId="4F7DFEE2" w14:textId="77777777" w:rsidR="00C72925" w:rsidRDefault="00F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695C" w14:textId="77777777" w:rsidR="00171886" w:rsidRPr="00171886" w:rsidRDefault="00F70DFE" w:rsidP="00171886">
    <w:pPr>
      <w:pStyle w:val="Header"/>
      <w:pBdr>
        <w:bottom w:val="single" w:sz="4" w:space="1" w:color="auto"/>
      </w:pBdr>
      <w:tabs>
        <w:tab w:val="clear" w:pos="4513"/>
        <w:tab w:val="clear" w:pos="9027"/>
      </w:tabs>
      <w:jc w:val="center"/>
    </w:pPr>
    <w:r w:rsidRPr="00171886">
      <w:t>G/SPS/N/EU/489</w:t>
    </w:r>
  </w:p>
  <w:p w14:paraId="7221CB91" w14:textId="77777777" w:rsidR="00171886" w:rsidRPr="00171886" w:rsidRDefault="00171886" w:rsidP="00171886">
    <w:pPr>
      <w:pStyle w:val="Header"/>
      <w:pBdr>
        <w:bottom w:val="single" w:sz="4" w:space="1" w:color="auto"/>
      </w:pBdr>
      <w:tabs>
        <w:tab w:val="clear" w:pos="4513"/>
        <w:tab w:val="clear" w:pos="9027"/>
      </w:tabs>
      <w:jc w:val="center"/>
    </w:pPr>
  </w:p>
  <w:p w14:paraId="3D2D2321" w14:textId="5D8FD66C" w:rsidR="00171886" w:rsidRPr="00171886" w:rsidRDefault="00F70DFE" w:rsidP="00171886">
    <w:pPr>
      <w:pStyle w:val="Header"/>
      <w:pBdr>
        <w:bottom w:val="single" w:sz="4" w:space="1" w:color="auto"/>
      </w:pBdr>
      <w:tabs>
        <w:tab w:val="clear" w:pos="4513"/>
        <w:tab w:val="clear" w:pos="9027"/>
      </w:tabs>
      <w:jc w:val="center"/>
    </w:pPr>
    <w:r w:rsidRPr="00171886">
      <w:t xml:space="preserve">- </w:t>
    </w:r>
    <w:r w:rsidRPr="00171886">
      <w:fldChar w:fldCharType="begin"/>
    </w:r>
    <w:r w:rsidRPr="00171886">
      <w:instrText xml:space="preserve"> PAGE </w:instrText>
    </w:r>
    <w:r w:rsidRPr="00171886">
      <w:fldChar w:fldCharType="separate"/>
    </w:r>
    <w:r w:rsidRPr="00171886">
      <w:rPr>
        <w:noProof/>
      </w:rPr>
      <w:t>2</w:t>
    </w:r>
    <w:r w:rsidRPr="00171886">
      <w:fldChar w:fldCharType="end"/>
    </w:r>
    <w:r w:rsidRPr="00171886">
      <w:t xml:space="preserve"> -</w:t>
    </w:r>
  </w:p>
  <w:p w14:paraId="183FC2EF" w14:textId="06887CEC" w:rsidR="00EA4725" w:rsidRPr="00171886" w:rsidRDefault="00EA4725" w:rsidP="001718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9DFE" w14:textId="77777777" w:rsidR="00171886" w:rsidRPr="00171886" w:rsidRDefault="00F70DFE" w:rsidP="00171886">
    <w:pPr>
      <w:pStyle w:val="Header"/>
      <w:pBdr>
        <w:bottom w:val="single" w:sz="4" w:space="1" w:color="auto"/>
      </w:pBdr>
      <w:tabs>
        <w:tab w:val="clear" w:pos="4513"/>
        <w:tab w:val="clear" w:pos="9027"/>
      </w:tabs>
      <w:jc w:val="center"/>
    </w:pPr>
    <w:r w:rsidRPr="00171886">
      <w:t>G/SPS/N/EU/489</w:t>
    </w:r>
  </w:p>
  <w:p w14:paraId="3C7C45A4" w14:textId="77777777" w:rsidR="00171886" w:rsidRPr="00171886" w:rsidRDefault="00171886" w:rsidP="00171886">
    <w:pPr>
      <w:pStyle w:val="Header"/>
      <w:pBdr>
        <w:bottom w:val="single" w:sz="4" w:space="1" w:color="auto"/>
      </w:pBdr>
      <w:tabs>
        <w:tab w:val="clear" w:pos="4513"/>
        <w:tab w:val="clear" w:pos="9027"/>
      </w:tabs>
      <w:jc w:val="center"/>
    </w:pPr>
  </w:p>
  <w:p w14:paraId="0848BBE3" w14:textId="1F73E747" w:rsidR="00171886" w:rsidRPr="00171886" w:rsidRDefault="00F70DFE" w:rsidP="00171886">
    <w:pPr>
      <w:pStyle w:val="Header"/>
      <w:pBdr>
        <w:bottom w:val="single" w:sz="4" w:space="1" w:color="auto"/>
      </w:pBdr>
      <w:tabs>
        <w:tab w:val="clear" w:pos="4513"/>
        <w:tab w:val="clear" w:pos="9027"/>
      </w:tabs>
      <w:jc w:val="center"/>
    </w:pPr>
    <w:r w:rsidRPr="00171886">
      <w:t xml:space="preserve">- </w:t>
    </w:r>
    <w:r w:rsidRPr="00171886">
      <w:fldChar w:fldCharType="begin"/>
    </w:r>
    <w:r w:rsidRPr="00171886">
      <w:instrText xml:space="preserve"> PAGE </w:instrText>
    </w:r>
    <w:r w:rsidRPr="00171886">
      <w:fldChar w:fldCharType="separate"/>
    </w:r>
    <w:r w:rsidRPr="00171886">
      <w:rPr>
        <w:noProof/>
      </w:rPr>
      <w:t>3</w:t>
    </w:r>
    <w:r w:rsidRPr="00171886">
      <w:fldChar w:fldCharType="end"/>
    </w:r>
    <w:r w:rsidRPr="00171886">
      <w:t xml:space="preserve"> -</w:t>
    </w:r>
  </w:p>
  <w:p w14:paraId="6F0B954C" w14:textId="21B3C2E6" w:rsidR="00EA4725" w:rsidRPr="00171886" w:rsidRDefault="00EA4725" w:rsidP="001718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2747" w14:paraId="68CAC7B9" w14:textId="77777777" w:rsidTr="00EE3CAF">
      <w:trPr>
        <w:trHeight w:val="240"/>
        <w:jc w:val="center"/>
      </w:trPr>
      <w:tc>
        <w:tcPr>
          <w:tcW w:w="3794" w:type="dxa"/>
          <w:shd w:val="clear" w:color="auto" w:fill="FFFFFF"/>
          <w:tcMar>
            <w:left w:w="108" w:type="dxa"/>
            <w:right w:w="108" w:type="dxa"/>
          </w:tcMar>
          <w:vAlign w:val="center"/>
        </w:tcPr>
        <w:p w14:paraId="7947353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BD15586" w14:textId="40A1FED9" w:rsidR="00ED54E0" w:rsidRPr="00EA4725" w:rsidRDefault="00F70DFE" w:rsidP="00422B6F">
          <w:pPr>
            <w:jc w:val="right"/>
            <w:rPr>
              <w:b/>
              <w:color w:val="FF0000"/>
              <w:szCs w:val="16"/>
            </w:rPr>
          </w:pPr>
          <w:r>
            <w:rPr>
              <w:b/>
              <w:color w:val="FF0000"/>
              <w:szCs w:val="16"/>
            </w:rPr>
            <w:t xml:space="preserve"> </w:t>
          </w:r>
        </w:p>
      </w:tc>
    </w:tr>
    <w:bookmarkEnd w:id="87"/>
    <w:tr w:rsidR="00D92747" w14:paraId="43E19C1C" w14:textId="77777777" w:rsidTr="00EE3CAF">
      <w:trPr>
        <w:trHeight w:val="213"/>
        <w:jc w:val="center"/>
      </w:trPr>
      <w:tc>
        <w:tcPr>
          <w:tcW w:w="3794" w:type="dxa"/>
          <w:vMerge w:val="restart"/>
          <w:shd w:val="clear" w:color="auto" w:fill="FFFFFF"/>
          <w:tcMar>
            <w:left w:w="0" w:type="dxa"/>
            <w:right w:w="0" w:type="dxa"/>
          </w:tcMar>
        </w:tcPr>
        <w:p w14:paraId="465D0070" w14:textId="77777777" w:rsidR="00ED54E0" w:rsidRPr="00EA4725" w:rsidRDefault="003D55E2" w:rsidP="00422B6F">
          <w:pPr>
            <w:jc w:val="left"/>
          </w:pPr>
          <w:r>
            <w:rPr>
              <w:lang w:eastAsia="en-GB"/>
            </w:rPr>
            <w:pict w14:anchorId="20C4A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78E6A8AB" w14:textId="77777777" w:rsidR="00ED54E0" w:rsidRPr="00EA4725" w:rsidRDefault="00ED54E0" w:rsidP="00422B6F">
          <w:pPr>
            <w:jc w:val="right"/>
            <w:rPr>
              <w:b/>
              <w:szCs w:val="16"/>
            </w:rPr>
          </w:pPr>
        </w:p>
      </w:tc>
    </w:tr>
    <w:tr w:rsidR="00D92747" w14:paraId="19BEFE51" w14:textId="77777777" w:rsidTr="00EE3CAF">
      <w:trPr>
        <w:trHeight w:val="868"/>
        <w:jc w:val="center"/>
      </w:trPr>
      <w:tc>
        <w:tcPr>
          <w:tcW w:w="3794" w:type="dxa"/>
          <w:vMerge/>
          <w:shd w:val="clear" w:color="auto" w:fill="FFFFFF"/>
          <w:tcMar>
            <w:left w:w="108" w:type="dxa"/>
            <w:right w:w="108" w:type="dxa"/>
          </w:tcMar>
        </w:tcPr>
        <w:p w14:paraId="412EBEE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5662BA" w14:textId="77777777" w:rsidR="00171886" w:rsidRDefault="00F70DFE" w:rsidP="00656ABC">
          <w:pPr>
            <w:jc w:val="right"/>
            <w:rPr>
              <w:b/>
              <w:szCs w:val="16"/>
            </w:rPr>
          </w:pPr>
          <w:bookmarkStart w:id="88" w:name="bmkSymbols"/>
          <w:r>
            <w:rPr>
              <w:b/>
              <w:szCs w:val="16"/>
            </w:rPr>
            <w:t>G/SPS/N/EU/489</w:t>
          </w:r>
          <w:bookmarkEnd w:id="88"/>
        </w:p>
      </w:tc>
    </w:tr>
    <w:tr w:rsidR="00D92747" w14:paraId="37E97EC0" w14:textId="77777777" w:rsidTr="00EE3CAF">
      <w:trPr>
        <w:trHeight w:val="240"/>
        <w:jc w:val="center"/>
      </w:trPr>
      <w:tc>
        <w:tcPr>
          <w:tcW w:w="3794" w:type="dxa"/>
          <w:vMerge/>
          <w:shd w:val="clear" w:color="auto" w:fill="FFFFFF"/>
          <w:tcMar>
            <w:left w:w="108" w:type="dxa"/>
            <w:right w:w="108" w:type="dxa"/>
          </w:tcMar>
          <w:vAlign w:val="center"/>
        </w:tcPr>
        <w:p w14:paraId="4F2F2418" w14:textId="77777777" w:rsidR="00ED54E0" w:rsidRPr="00EA4725" w:rsidRDefault="00ED54E0" w:rsidP="00422B6F"/>
      </w:tc>
      <w:tc>
        <w:tcPr>
          <w:tcW w:w="5448" w:type="dxa"/>
          <w:gridSpan w:val="2"/>
          <w:shd w:val="clear" w:color="auto" w:fill="FFFFFF"/>
          <w:tcMar>
            <w:left w:w="108" w:type="dxa"/>
            <w:right w:w="108" w:type="dxa"/>
          </w:tcMar>
          <w:vAlign w:val="center"/>
        </w:tcPr>
        <w:p w14:paraId="5E888F2C" w14:textId="77777777" w:rsidR="00ED54E0" w:rsidRPr="00EA4725" w:rsidRDefault="00F70DFE" w:rsidP="00422B6F">
          <w:pPr>
            <w:jc w:val="right"/>
            <w:rPr>
              <w:szCs w:val="16"/>
            </w:rPr>
          </w:pPr>
          <w:bookmarkStart w:id="89" w:name="spsDateDistribution"/>
          <w:r w:rsidRPr="00EA4725">
            <w:rPr>
              <w:szCs w:val="16"/>
            </w:rPr>
            <w:t>21 May 2021</w:t>
          </w:r>
          <w:bookmarkStart w:id="90" w:name="bmkDate"/>
          <w:bookmarkEnd w:id="89"/>
          <w:bookmarkEnd w:id="90"/>
        </w:p>
      </w:tc>
    </w:tr>
    <w:tr w:rsidR="00D92747" w14:paraId="378E71E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B05795" w14:textId="02440FFA" w:rsidR="00ED54E0" w:rsidRPr="00EA4725" w:rsidRDefault="00F70DFE"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3D55E2">
            <w:rPr>
              <w:color w:val="FF0000"/>
              <w:szCs w:val="16"/>
            </w:rPr>
            <w:t>4269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F1C9BB5" w14:textId="77777777" w:rsidR="00ED54E0" w:rsidRPr="00EA4725" w:rsidRDefault="00F70DF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92747" w14:paraId="7FC0DA3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B399C8" w14:textId="320B35DE" w:rsidR="00ED54E0" w:rsidRPr="00EA4725" w:rsidRDefault="00F70DF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B1F6DB6" w14:textId="2B062E8F" w:rsidR="00ED54E0" w:rsidRPr="00441372" w:rsidRDefault="00F70DFE" w:rsidP="00EC687E">
          <w:pPr>
            <w:jc w:val="right"/>
            <w:rPr>
              <w:bCs/>
              <w:szCs w:val="18"/>
            </w:rPr>
          </w:pPr>
          <w:bookmarkStart w:id="95" w:name="bmkLanguage"/>
          <w:r>
            <w:rPr>
              <w:bCs/>
              <w:szCs w:val="18"/>
            </w:rPr>
            <w:t>Original: English</w:t>
          </w:r>
          <w:bookmarkEnd w:id="95"/>
        </w:p>
      </w:tc>
    </w:tr>
  </w:tbl>
  <w:p w14:paraId="2480A75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D288BE">
      <w:start w:val="1"/>
      <w:numFmt w:val="decimal"/>
      <w:pStyle w:val="SummaryText"/>
      <w:lvlText w:val="%1."/>
      <w:lvlJc w:val="left"/>
      <w:pPr>
        <w:ind w:left="360" w:hanging="360"/>
      </w:pPr>
    </w:lvl>
    <w:lvl w:ilvl="1" w:tplc="596E58E0" w:tentative="1">
      <w:start w:val="1"/>
      <w:numFmt w:val="lowerLetter"/>
      <w:lvlText w:val="%2."/>
      <w:lvlJc w:val="left"/>
      <w:pPr>
        <w:ind w:left="1080" w:hanging="360"/>
      </w:pPr>
    </w:lvl>
    <w:lvl w:ilvl="2" w:tplc="1F624BCA" w:tentative="1">
      <w:start w:val="1"/>
      <w:numFmt w:val="lowerRoman"/>
      <w:lvlText w:val="%3."/>
      <w:lvlJc w:val="right"/>
      <w:pPr>
        <w:ind w:left="1800" w:hanging="180"/>
      </w:pPr>
    </w:lvl>
    <w:lvl w:ilvl="3" w:tplc="1AC4243A" w:tentative="1">
      <w:start w:val="1"/>
      <w:numFmt w:val="decimal"/>
      <w:lvlText w:val="%4."/>
      <w:lvlJc w:val="left"/>
      <w:pPr>
        <w:ind w:left="2520" w:hanging="360"/>
      </w:pPr>
    </w:lvl>
    <w:lvl w:ilvl="4" w:tplc="11E021EC" w:tentative="1">
      <w:start w:val="1"/>
      <w:numFmt w:val="lowerLetter"/>
      <w:lvlText w:val="%5."/>
      <w:lvlJc w:val="left"/>
      <w:pPr>
        <w:ind w:left="3240" w:hanging="360"/>
      </w:pPr>
    </w:lvl>
    <w:lvl w:ilvl="5" w:tplc="E5128B08" w:tentative="1">
      <w:start w:val="1"/>
      <w:numFmt w:val="lowerRoman"/>
      <w:lvlText w:val="%6."/>
      <w:lvlJc w:val="right"/>
      <w:pPr>
        <w:ind w:left="3960" w:hanging="180"/>
      </w:pPr>
    </w:lvl>
    <w:lvl w:ilvl="6" w:tplc="51EAEE68" w:tentative="1">
      <w:start w:val="1"/>
      <w:numFmt w:val="decimal"/>
      <w:lvlText w:val="%7."/>
      <w:lvlJc w:val="left"/>
      <w:pPr>
        <w:ind w:left="4680" w:hanging="360"/>
      </w:pPr>
    </w:lvl>
    <w:lvl w:ilvl="7" w:tplc="9E9EAB48" w:tentative="1">
      <w:start w:val="1"/>
      <w:numFmt w:val="lowerLetter"/>
      <w:lvlText w:val="%8."/>
      <w:lvlJc w:val="left"/>
      <w:pPr>
        <w:ind w:left="5400" w:hanging="360"/>
      </w:pPr>
    </w:lvl>
    <w:lvl w:ilvl="8" w:tplc="739223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1886"/>
    <w:rsid w:val="00182B84"/>
    <w:rsid w:val="001E291F"/>
    <w:rsid w:val="001E596A"/>
    <w:rsid w:val="00233408"/>
    <w:rsid w:val="0027067B"/>
    <w:rsid w:val="00272C98"/>
    <w:rsid w:val="002A67C2"/>
    <w:rsid w:val="002C2634"/>
    <w:rsid w:val="00334D8B"/>
    <w:rsid w:val="0035602E"/>
    <w:rsid w:val="003572B4"/>
    <w:rsid w:val="003817C7"/>
    <w:rsid w:val="00395125"/>
    <w:rsid w:val="003D4E91"/>
    <w:rsid w:val="003D55E2"/>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2925"/>
    <w:rsid w:val="00C808FC"/>
    <w:rsid w:val="00C863EB"/>
    <w:rsid w:val="00CD7D97"/>
    <w:rsid w:val="00CE3EE6"/>
    <w:rsid w:val="00CE4BA1"/>
    <w:rsid w:val="00D000C7"/>
    <w:rsid w:val="00D52A9D"/>
    <w:rsid w:val="00D55AAD"/>
    <w:rsid w:val="00D66911"/>
    <w:rsid w:val="00D747AE"/>
    <w:rsid w:val="00D76A9E"/>
    <w:rsid w:val="00D9226C"/>
    <w:rsid w:val="00D92747"/>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0DF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505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EEC/21_3505_01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r-lex.europa.eu/legal-content/EN/TXT/PDF/?uri=CELEX:02019R0934-20190627&amp;qid=1613637400178&amp;from=EN" TargetMode="External"/><Relationship Id="rId4" Type="http://schemas.openxmlformats.org/officeDocument/2006/relationships/webSettings" Target="webSettings.xml"/><Relationship Id="rId9" Type="http://schemas.openxmlformats.org/officeDocument/2006/relationships/hyperlink" Target="http://eur-lex.europa.eu/legal-content/EN/TXT/?qid=1502976703496&amp;uri=CELEX:32013R130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5534</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2021-05-20T15:23:00Z</dcterms:created>
  <dcterms:modified xsi:type="dcterms:W3CDTF">2021-05-20T16:04:00Z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G/SPS/N/EU/489</vt:lpwstr>
  </property>
  <property fmtid="{D5CDD505-2E9C-101B-9397-08002B2CF9AE}" pid="3" name="TitusGUID">
    <vt:lpwstr>ed813205-623e-4d4d-9f28-7ff06d6d1e9d</vt:lpwstr>
  </property>
  <property fmtid="{D5CDD505-2E9C-101B-9397-08002B2CF9AE}" pid="4" name="WTOCLASSIFICATION">
    <vt:lpwstr>WTO OFFICIAL</vt:lpwstr>
  </property>
</Properties>
</file>