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4DFB3" w14:textId="77777777" w:rsidR="00EA4725" w:rsidRPr="00441372" w:rsidRDefault="00E11D5D"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2E618C" w14:paraId="0C48C0A7" w14:textId="77777777" w:rsidTr="00F3021D">
        <w:tc>
          <w:tcPr>
            <w:tcW w:w="707" w:type="dxa"/>
            <w:tcBorders>
              <w:bottom w:val="single" w:sz="6" w:space="0" w:color="auto"/>
            </w:tcBorders>
            <w:shd w:val="clear" w:color="auto" w:fill="auto"/>
          </w:tcPr>
          <w:p w14:paraId="78368E98" w14:textId="77777777" w:rsidR="00EA4725" w:rsidRPr="00441372" w:rsidRDefault="00E11D5D" w:rsidP="00441372">
            <w:pPr>
              <w:spacing w:before="120" w:after="120"/>
              <w:jc w:val="left"/>
            </w:pPr>
            <w:r w:rsidRPr="00441372">
              <w:rPr>
                <w:b/>
              </w:rPr>
              <w:t>1.</w:t>
            </w:r>
          </w:p>
        </w:tc>
        <w:tc>
          <w:tcPr>
            <w:tcW w:w="8320" w:type="dxa"/>
            <w:tcBorders>
              <w:bottom w:val="single" w:sz="6" w:space="0" w:color="auto"/>
            </w:tcBorders>
            <w:shd w:val="clear" w:color="auto" w:fill="auto"/>
          </w:tcPr>
          <w:p w14:paraId="600962BD" w14:textId="77777777" w:rsidR="00EA4725" w:rsidRPr="00441372" w:rsidRDefault="00E11D5D"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EUROPEAN UNION</w:t>
            </w:r>
            <w:bookmarkEnd w:id="1"/>
          </w:p>
          <w:p w14:paraId="631DE0DF" w14:textId="77777777" w:rsidR="00EA4725" w:rsidRPr="00441372" w:rsidRDefault="00E11D5D"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2E618C" w14:paraId="33A8FF16" w14:textId="77777777" w:rsidTr="00F3021D">
        <w:tc>
          <w:tcPr>
            <w:tcW w:w="707" w:type="dxa"/>
            <w:tcBorders>
              <w:top w:val="single" w:sz="6" w:space="0" w:color="auto"/>
              <w:bottom w:val="single" w:sz="6" w:space="0" w:color="auto"/>
            </w:tcBorders>
            <w:shd w:val="clear" w:color="auto" w:fill="auto"/>
          </w:tcPr>
          <w:p w14:paraId="5E1380E3" w14:textId="77777777" w:rsidR="00EA4725" w:rsidRPr="00441372" w:rsidRDefault="00E11D5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2D44637A" w14:textId="77777777" w:rsidR="00EA4725" w:rsidRPr="00441372" w:rsidRDefault="00E11D5D"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European Commission, Health and Food Safety Directorate-General</w:t>
            </w:r>
            <w:bookmarkEnd w:id="5"/>
          </w:p>
        </w:tc>
      </w:tr>
      <w:tr w:rsidR="002E618C" w14:paraId="2130BAEA" w14:textId="77777777" w:rsidTr="00F3021D">
        <w:tc>
          <w:tcPr>
            <w:tcW w:w="707" w:type="dxa"/>
            <w:tcBorders>
              <w:top w:val="single" w:sz="6" w:space="0" w:color="auto"/>
              <w:bottom w:val="single" w:sz="6" w:space="0" w:color="auto"/>
            </w:tcBorders>
            <w:shd w:val="clear" w:color="auto" w:fill="auto"/>
          </w:tcPr>
          <w:p w14:paraId="754EB892" w14:textId="77777777" w:rsidR="00EA4725" w:rsidRPr="00441372" w:rsidRDefault="00E11D5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680BA11D" w14:textId="77777777" w:rsidR="00EA4725" w:rsidRPr="00441372" w:rsidRDefault="00E11D5D"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Plants, plant products and other objects (HS Chapters: 06 (live plants), 07 (vegetables), 08 (fruits), 10 (cereals), 12 (seeds), 14 (pollen), 44 (wood), 84 (machinery), 87 (vehicles))</w:t>
            </w:r>
            <w:bookmarkEnd w:id="7"/>
          </w:p>
        </w:tc>
      </w:tr>
      <w:tr w:rsidR="002E618C" w14:paraId="78FD1078" w14:textId="77777777" w:rsidTr="00F3021D">
        <w:tc>
          <w:tcPr>
            <w:tcW w:w="707" w:type="dxa"/>
            <w:tcBorders>
              <w:top w:val="single" w:sz="6" w:space="0" w:color="auto"/>
              <w:bottom w:val="single" w:sz="6" w:space="0" w:color="auto"/>
            </w:tcBorders>
            <w:shd w:val="clear" w:color="auto" w:fill="auto"/>
          </w:tcPr>
          <w:p w14:paraId="657F73A1" w14:textId="77777777" w:rsidR="00EA4725" w:rsidRPr="00441372" w:rsidRDefault="00E11D5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6583D269" w14:textId="77777777" w:rsidR="00EA4725" w:rsidRPr="00441372" w:rsidRDefault="00E11D5D"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0D2BE7B4" w14:textId="77777777" w:rsidR="00EA4725" w:rsidRPr="00441372" w:rsidRDefault="00E11D5D"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6864AAE5" w14:textId="77777777" w:rsidR="00EA4725" w:rsidRPr="00441372" w:rsidRDefault="00E11D5D"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2E618C" w14:paraId="723C8E74" w14:textId="77777777" w:rsidTr="00F3021D">
        <w:tc>
          <w:tcPr>
            <w:tcW w:w="707" w:type="dxa"/>
            <w:tcBorders>
              <w:top w:val="single" w:sz="6" w:space="0" w:color="auto"/>
              <w:bottom w:val="single" w:sz="6" w:space="0" w:color="auto"/>
            </w:tcBorders>
            <w:shd w:val="clear" w:color="auto" w:fill="auto"/>
          </w:tcPr>
          <w:p w14:paraId="1F6DC069" w14:textId="77777777" w:rsidR="00EA4725" w:rsidRPr="00441372" w:rsidRDefault="00E11D5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507B3683" w14:textId="77777777" w:rsidR="00EA4725" w:rsidRPr="00441372" w:rsidRDefault="00E11D5D"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Proposal for a Regulation of the European Parliament and of the Council amending Regulation (EU) 2016/2031 of the European Parliament and of the Council as regards multiannual survey programmes, notifications concerning the presence of regulated non-quarantine pests, temporary derogations from import prohibitions and special import requirements and establishment of procedures for granting them, temporary import requirements for high risk plants, plant products and other objects, the establishment of procedures for the listing of high risk plants, the content of phytosanitary certificates, the use of plant passports and as regards certain reporting requirements for demarcated areas and surveys of pest</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 French and Spanish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13</w:t>
            </w:r>
            <w:bookmarkEnd w:id="20"/>
          </w:p>
          <w:bookmarkStart w:id="21" w:name="sps5d"/>
          <w:p w14:paraId="21E72C8A" w14:textId="77777777" w:rsidR="00EA4725" w:rsidRPr="00441372" w:rsidRDefault="00E11D5D" w:rsidP="00A14801">
            <w:r>
              <w:fldChar w:fldCharType="begin"/>
            </w:r>
            <w:r>
              <w:instrText>HYPERLINK "https://members.wto.org/crnattachments/2023/SPS/EEC/23_13474_00_e.pdf" \t "_blank"</w:instrText>
            </w:r>
            <w:r>
              <w:fldChar w:fldCharType="separate"/>
            </w:r>
            <w:r w:rsidRPr="00441372">
              <w:rPr>
                <w:color w:val="0000FF"/>
                <w:u w:val="single"/>
              </w:rPr>
              <w:t>https://members.wto.org/crnattachments/2023/SPS/EEC/23_13474_00_e.pdf</w:t>
            </w:r>
            <w:r>
              <w:rPr>
                <w:color w:val="0000FF"/>
                <w:u w:val="single"/>
              </w:rPr>
              <w:fldChar w:fldCharType="end"/>
            </w:r>
          </w:p>
          <w:p w14:paraId="3CA461A8" w14:textId="77777777" w:rsidR="00EA4725" w:rsidRPr="00441372" w:rsidRDefault="00C62C45" w:rsidP="00441372">
            <w:hyperlink r:id="rId8" w:tgtFrame="_blank" w:history="1">
              <w:r w:rsidR="00E11D5D" w:rsidRPr="00441372">
                <w:rPr>
                  <w:color w:val="0000FF"/>
                  <w:u w:val="single"/>
                </w:rPr>
                <w:t>https://members.wto.org/crnattachments/2023/SPS/EEC/23_13474_00_f.pdf</w:t>
              </w:r>
            </w:hyperlink>
          </w:p>
          <w:p w14:paraId="0943345D" w14:textId="77777777" w:rsidR="00EA4725" w:rsidRPr="00441372" w:rsidRDefault="00C62C45" w:rsidP="00441372">
            <w:pPr>
              <w:spacing w:after="120"/>
            </w:pPr>
            <w:hyperlink r:id="rId9" w:tgtFrame="_blank" w:history="1">
              <w:r w:rsidR="00E11D5D" w:rsidRPr="00441372">
                <w:rPr>
                  <w:color w:val="0000FF"/>
                  <w:u w:val="single"/>
                </w:rPr>
                <w:t>https://members.wto.org/crnattachments/2023/SPS/EEC/23_13474_00_s.pdf</w:t>
              </w:r>
            </w:hyperlink>
            <w:bookmarkEnd w:id="21"/>
          </w:p>
        </w:tc>
      </w:tr>
      <w:tr w:rsidR="002E618C" w14:paraId="37E50B1E" w14:textId="77777777" w:rsidTr="00F3021D">
        <w:tc>
          <w:tcPr>
            <w:tcW w:w="707" w:type="dxa"/>
            <w:tcBorders>
              <w:top w:val="single" w:sz="6" w:space="0" w:color="auto"/>
              <w:bottom w:val="single" w:sz="6" w:space="0" w:color="auto"/>
            </w:tcBorders>
            <w:shd w:val="clear" w:color="auto" w:fill="auto"/>
          </w:tcPr>
          <w:p w14:paraId="1831DA99" w14:textId="77777777" w:rsidR="00EA4725" w:rsidRPr="00441372" w:rsidRDefault="00E11D5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B9BED22" w14:textId="77777777" w:rsidR="00EA4725" w:rsidRPr="00441372" w:rsidRDefault="00E11D5D"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 xml:space="preserve">The Commission proposal consists of the targeted amendments of the plant health Regulation: (i) clarification concerning the measures against pests which are provisionally qualifying as quarantine pests but have not been fully assessed yet, (ii) amendment of the requirements regarding the declarations on the phytosanitary certificate for regulated non-quarantine pests (RNQPs), (iii) the reporting of non-compliances with the RNQP rules in the electronic notification system (Information Management System for Official Controls – IMSOC), (iv) the introduction of an empowerment for a Commission act to adopt with autonomous acts, temporary derogations from import prohibitions and special import requirements and temporary special import requirements for commodities that have been removed from the list of high-risk plants, plant products and other objects but for which the pest risk has not been fully assessed, (v) The introduction of an empowerment for a Commission act to adopt procedural rules for the submission and examination of third countries' requests for temporary derogations from import prohibitions or from import requirements, (vi) the introduction of an empowerment for a Delegated act to adopt procedures for identifying and listing of high-risk plants, (vii) the clarification of the legal basis for setting out requirements for third countries' equivalence, in order to refer not only to internal </w:t>
            </w:r>
            <w:r w:rsidRPr="0065690F">
              <w:lastRenderedPageBreak/>
              <w:t>movement, requirements but also to existing import requirements, (viii) the introduction of an empowerment for a Commission act, to rationalise the obligation to attach a plant passport to certain plants, (ix) the alignment of the possibility to accept alternative official attestations issued by third countries with the international state of play, (x) rationalisation of certain reporting obligations</w:t>
            </w:r>
            <w:bookmarkEnd w:id="23"/>
          </w:p>
        </w:tc>
      </w:tr>
      <w:tr w:rsidR="002E618C" w14:paraId="607B6B5A" w14:textId="77777777" w:rsidTr="00F3021D">
        <w:tc>
          <w:tcPr>
            <w:tcW w:w="707" w:type="dxa"/>
            <w:tcBorders>
              <w:top w:val="single" w:sz="6" w:space="0" w:color="auto"/>
              <w:bottom w:val="single" w:sz="6" w:space="0" w:color="auto"/>
            </w:tcBorders>
            <w:shd w:val="clear" w:color="auto" w:fill="auto"/>
          </w:tcPr>
          <w:p w14:paraId="68E8489A" w14:textId="77777777" w:rsidR="00EA4725" w:rsidRPr="00441372" w:rsidRDefault="00E11D5D"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32361975" w14:textId="77777777" w:rsidR="00EA4725" w:rsidRPr="00441372" w:rsidRDefault="00E11D5D"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 </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2E618C" w14:paraId="3887C504" w14:textId="77777777" w:rsidTr="00F3021D">
        <w:tc>
          <w:tcPr>
            <w:tcW w:w="707" w:type="dxa"/>
            <w:tcBorders>
              <w:top w:val="single" w:sz="6" w:space="0" w:color="auto"/>
              <w:bottom w:val="single" w:sz="6" w:space="0" w:color="auto"/>
            </w:tcBorders>
            <w:shd w:val="clear" w:color="auto" w:fill="auto"/>
          </w:tcPr>
          <w:p w14:paraId="79D25154" w14:textId="77777777" w:rsidR="00EA4725" w:rsidRPr="00441372" w:rsidRDefault="00E11D5D"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14870A77" w14:textId="77777777" w:rsidR="00EA4725" w:rsidRPr="00441372" w:rsidRDefault="00E11D5D"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1BA92FF4" w14:textId="77777777" w:rsidR="00EA4725" w:rsidRPr="00441372" w:rsidRDefault="00E11D5D" w:rsidP="00441372">
            <w:pPr>
              <w:spacing w:after="12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44A16A5F" w14:textId="77777777" w:rsidR="00EA4725" w:rsidRPr="00441372" w:rsidRDefault="00E11D5D"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453EEA73" w14:textId="77777777" w:rsidR="00A14801" w:rsidRDefault="00E11D5D" w:rsidP="00441372">
            <w:pPr>
              <w:ind w:left="720" w:hanging="720"/>
            </w:pPr>
            <w:r w:rsidRPr="00441372">
              <w:rPr>
                <w:b/>
              </w:rPr>
              <w:t>[</w:t>
            </w:r>
            <w:bookmarkStart w:id="43" w:name="sps8c"/>
            <w:r w:rsidRPr="00441372">
              <w:rPr>
                <w:b/>
              </w:rPr>
              <w:t>X</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p>
          <w:p w14:paraId="7F7AAA54" w14:textId="00006582" w:rsidR="00EA4725" w:rsidRPr="00441372" w:rsidRDefault="00E11D5D" w:rsidP="00A14801">
            <w:pPr>
              <w:numPr>
                <w:ilvl w:val="0"/>
                <w:numId w:val="16"/>
              </w:numPr>
              <w:ind w:left="1086"/>
              <w:rPr>
                <w:b/>
              </w:rPr>
            </w:pPr>
            <w:r w:rsidRPr="0065690F">
              <w:t>ISPM 12 Guidelines for phytosanitary certificates</w:t>
            </w:r>
          </w:p>
          <w:p w14:paraId="1FE56755" w14:textId="769EAA68" w:rsidR="006647DB" w:rsidRPr="0065690F" w:rsidRDefault="00E11D5D" w:rsidP="00A14801">
            <w:pPr>
              <w:numPr>
                <w:ilvl w:val="0"/>
                <w:numId w:val="16"/>
              </w:numPr>
              <w:ind w:left="1086"/>
            </w:pPr>
            <w:r w:rsidRPr="0065690F">
              <w:t>ISPM 13 Guidelines for the notification of non-compliance and emergency action</w:t>
            </w:r>
          </w:p>
          <w:p w14:paraId="3EB9E373" w14:textId="3FFC476D" w:rsidR="006647DB" w:rsidRPr="0065690F" w:rsidRDefault="00E11D5D" w:rsidP="00A14801">
            <w:pPr>
              <w:numPr>
                <w:ilvl w:val="0"/>
                <w:numId w:val="16"/>
              </w:numPr>
              <w:ind w:left="1086"/>
            </w:pPr>
            <w:r w:rsidRPr="0065690F">
              <w:t>ISPM 20 Guidelines for a phytosanitary import regulatory system</w:t>
            </w:r>
          </w:p>
          <w:p w14:paraId="7C5775C3" w14:textId="4C4CECF3" w:rsidR="006647DB" w:rsidRPr="0065690F" w:rsidRDefault="00E11D5D" w:rsidP="00A14801">
            <w:pPr>
              <w:numPr>
                <w:ilvl w:val="0"/>
                <w:numId w:val="16"/>
              </w:numPr>
              <w:spacing w:after="120"/>
              <w:ind w:left="1086"/>
            </w:pPr>
            <w:r w:rsidRPr="0065690F">
              <w:t>ISPM 24 Guidelines for the determination and recognition of equivalence of phytosanitary measures</w:t>
            </w:r>
            <w:bookmarkEnd w:id="45"/>
          </w:p>
          <w:p w14:paraId="424DA284" w14:textId="77777777" w:rsidR="00EA4725" w:rsidRPr="00441372" w:rsidRDefault="00E11D5D" w:rsidP="00441372">
            <w:pPr>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3760725A" w14:textId="77777777" w:rsidR="00EA4725" w:rsidRPr="00441372" w:rsidRDefault="00E11D5D"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0A0FBCB7" w14:textId="77777777" w:rsidR="00EA4725" w:rsidRPr="00441372" w:rsidRDefault="00E11D5D"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18C7800A" w14:textId="77777777" w:rsidR="00EA4725" w:rsidRPr="00441372" w:rsidRDefault="00E11D5D"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2E618C" w14:paraId="79147B9B" w14:textId="77777777" w:rsidTr="00F3021D">
        <w:tc>
          <w:tcPr>
            <w:tcW w:w="707" w:type="dxa"/>
            <w:tcBorders>
              <w:top w:val="single" w:sz="6" w:space="0" w:color="auto"/>
              <w:bottom w:val="single" w:sz="6" w:space="0" w:color="auto"/>
            </w:tcBorders>
            <w:shd w:val="clear" w:color="auto" w:fill="auto"/>
          </w:tcPr>
          <w:p w14:paraId="4B9E0BEF" w14:textId="77777777" w:rsidR="00EA4725" w:rsidRPr="00441372" w:rsidRDefault="00E11D5D"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093CB5BB" w14:textId="77777777" w:rsidR="00EA4725" w:rsidRPr="00441372" w:rsidRDefault="00E11D5D"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2E618C" w14:paraId="5786C71B" w14:textId="77777777" w:rsidTr="00F3021D">
        <w:tc>
          <w:tcPr>
            <w:tcW w:w="707" w:type="dxa"/>
            <w:tcBorders>
              <w:top w:val="single" w:sz="6" w:space="0" w:color="auto"/>
              <w:bottom w:val="single" w:sz="6" w:space="0" w:color="auto"/>
            </w:tcBorders>
            <w:shd w:val="clear" w:color="auto" w:fill="auto"/>
          </w:tcPr>
          <w:p w14:paraId="21D6DDC0" w14:textId="77777777" w:rsidR="00EA4725" w:rsidRPr="00441372" w:rsidRDefault="00E11D5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4B05CCB7" w14:textId="77777777" w:rsidR="00EA4725" w:rsidRPr="00441372" w:rsidRDefault="00E11D5D"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June 2024</w:t>
            </w:r>
            <w:bookmarkEnd w:id="59"/>
          </w:p>
          <w:p w14:paraId="388B6AA3" w14:textId="77777777" w:rsidR="00EA4725" w:rsidRPr="00441372" w:rsidRDefault="00E11D5D"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To be determined.</w:t>
            </w:r>
            <w:bookmarkEnd w:id="61"/>
          </w:p>
        </w:tc>
      </w:tr>
      <w:tr w:rsidR="002E618C" w14:paraId="1CAD3589" w14:textId="77777777" w:rsidTr="00F3021D">
        <w:tc>
          <w:tcPr>
            <w:tcW w:w="707" w:type="dxa"/>
            <w:tcBorders>
              <w:top w:val="single" w:sz="6" w:space="0" w:color="auto"/>
              <w:bottom w:val="single" w:sz="6" w:space="0" w:color="auto"/>
            </w:tcBorders>
            <w:shd w:val="clear" w:color="auto" w:fill="auto"/>
          </w:tcPr>
          <w:p w14:paraId="6891331E" w14:textId="77777777" w:rsidR="00EA4725" w:rsidRPr="00441372" w:rsidRDefault="00E11D5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562FDB6" w14:textId="77777777" w:rsidR="00EA4725" w:rsidRPr="00441372" w:rsidRDefault="00E11D5D"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This Regulation shall enter into force on the twentieth day following its publication in the Official Journal of the European Union. The provision on additional declaration for RNQPs shall apply six months from the date of publication.</w:t>
            </w:r>
            <w:bookmarkEnd w:id="65"/>
          </w:p>
          <w:p w14:paraId="61ABF39A" w14:textId="77777777" w:rsidR="00EA4725" w:rsidRPr="00441372" w:rsidRDefault="00E11D5D"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2E618C" w14:paraId="17223658" w14:textId="77777777" w:rsidTr="00F3021D">
        <w:tc>
          <w:tcPr>
            <w:tcW w:w="707" w:type="dxa"/>
            <w:tcBorders>
              <w:top w:val="single" w:sz="6" w:space="0" w:color="auto"/>
              <w:bottom w:val="single" w:sz="6" w:space="0" w:color="auto"/>
            </w:tcBorders>
            <w:shd w:val="clear" w:color="auto" w:fill="auto"/>
          </w:tcPr>
          <w:p w14:paraId="3BEB9366" w14:textId="77777777" w:rsidR="00EA4725" w:rsidRPr="00441372" w:rsidRDefault="00E11D5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57828699" w14:textId="77777777" w:rsidR="00EA4725" w:rsidRPr="00441372" w:rsidRDefault="00E11D5D"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15 January 2024</w:t>
            </w:r>
            <w:bookmarkEnd w:id="72"/>
          </w:p>
          <w:p w14:paraId="45726D8E" w14:textId="77777777" w:rsidR="00EA4725" w:rsidRPr="00441372" w:rsidRDefault="00E11D5D"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51E1AF7C" w14:textId="77777777" w:rsidR="006647DB" w:rsidRPr="0065690F" w:rsidRDefault="00E11D5D" w:rsidP="00441372">
            <w:r w:rsidRPr="0065690F">
              <w:t>European Commission</w:t>
            </w:r>
          </w:p>
          <w:p w14:paraId="5A160C26" w14:textId="77777777" w:rsidR="006647DB" w:rsidRPr="0065690F" w:rsidRDefault="00E11D5D" w:rsidP="00441372">
            <w:r w:rsidRPr="0065690F">
              <w:t>DG Health and Food Safety, Unit A4-Multilateral International Relations</w:t>
            </w:r>
          </w:p>
          <w:p w14:paraId="1ADD016C" w14:textId="77777777" w:rsidR="006647DB" w:rsidRPr="00A14801" w:rsidRDefault="00E11D5D" w:rsidP="00441372">
            <w:pPr>
              <w:rPr>
                <w:lang w:val="fr-CH"/>
              </w:rPr>
            </w:pPr>
            <w:r w:rsidRPr="00A14801">
              <w:rPr>
                <w:lang w:val="fr-CH"/>
              </w:rPr>
              <w:t>Rue Froissart 101</w:t>
            </w:r>
          </w:p>
          <w:p w14:paraId="2B8C4A20" w14:textId="77777777" w:rsidR="006647DB" w:rsidRPr="00A14801" w:rsidRDefault="00E11D5D" w:rsidP="00441372">
            <w:pPr>
              <w:rPr>
                <w:lang w:val="fr-CH"/>
              </w:rPr>
            </w:pPr>
            <w:r w:rsidRPr="00A14801">
              <w:rPr>
                <w:lang w:val="fr-CH"/>
              </w:rPr>
              <w:t>B-1049 Brussels</w:t>
            </w:r>
          </w:p>
          <w:p w14:paraId="400488D0" w14:textId="77777777" w:rsidR="006647DB" w:rsidRPr="00A14801" w:rsidRDefault="00E11D5D" w:rsidP="00441372">
            <w:pPr>
              <w:rPr>
                <w:lang w:val="fr-CH"/>
              </w:rPr>
            </w:pPr>
            <w:r w:rsidRPr="00A14801">
              <w:rPr>
                <w:lang w:val="fr-CH"/>
              </w:rPr>
              <w:t>Tel: +(32 2) 29 54263</w:t>
            </w:r>
          </w:p>
          <w:p w14:paraId="09016F94" w14:textId="77777777" w:rsidR="006647DB" w:rsidRPr="0065690F" w:rsidRDefault="00E11D5D" w:rsidP="00441372">
            <w:pPr>
              <w:spacing w:after="120"/>
            </w:pPr>
            <w:r w:rsidRPr="0065690F">
              <w:t xml:space="preserve">E-mail: </w:t>
            </w:r>
            <w:hyperlink r:id="rId10" w:history="1">
              <w:r w:rsidRPr="0065690F">
                <w:rPr>
                  <w:color w:val="0000FF"/>
                  <w:u w:val="single"/>
                </w:rPr>
                <w:t>sps@ec.europa.eu</w:t>
              </w:r>
            </w:hyperlink>
            <w:bookmarkEnd w:id="79"/>
          </w:p>
        </w:tc>
      </w:tr>
      <w:tr w:rsidR="002E618C" w14:paraId="6F452B83" w14:textId="77777777" w:rsidTr="00F3021D">
        <w:tc>
          <w:tcPr>
            <w:tcW w:w="707" w:type="dxa"/>
            <w:tcBorders>
              <w:top w:val="single" w:sz="6" w:space="0" w:color="auto"/>
            </w:tcBorders>
            <w:shd w:val="clear" w:color="auto" w:fill="auto"/>
          </w:tcPr>
          <w:p w14:paraId="168B7C94" w14:textId="77777777" w:rsidR="00EA4725" w:rsidRPr="00441372" w:rsidRDefault="00E11D5D"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14:paraId="0036EC7F" w14:textId="77777777" w:rsidR="00EA4725" w:rsidRPr="00441372" w:rsidRDefault="00E11D5D"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561B767D" w14:textId="77777777" w:rsidR="00EA4725" w:rsidRPr="0065690F" w:rsidRDefault="00E11D5D" w:rsidP="00F3021D">
            <w:pPr>
              <w:keepNext/>
              <w:keepLines/>
              <w:rPr>
                <w:bCs/>
              </w:rPr>
            </w:pPr>
            <w:r w:rsidRPr="0065690F">
              <w:rPr>
                <w:bCs/>
              </w:rPr>
              <w:t>European Commission</w:t>
            </w:r>
          </w:p>
          <w:p w14:paraId="769D75A5" w14:textId="77777777" w:rsidR="00EA4725" w:rsidRPr="0065690F" w:rsidRDefault="00E11D5D" w:rsidP="00F3021D">
            <w:pPr>
              <w:keepNext/>
              <w:keepLines/>
              <w:rPr>
                <w:bCs/>
              </w:rPr>
            </w:pPr>
            <w:r w:rsidRPr="0065690F">
              <w:rPr>
                <w:bCs/>
              </w:rPr>
              <w:t>DG Health and Food Safety, Unit A4-Multilateral International Relations</w:t>
            </w:r>
          </w:p>
          <w:p w14:paraId="11B73A2C" w14:textId="77777777" w:rsidR="00EA4725" w:rsidRPr="00A14801" w:rsidRDefault="00E11D5D" w:rsidP="00F3021D">
            <w:pPr>
              <w:keepNext/>
              <w:keepLines/>
              <w:rPr>
                <w:bCs/>
                <w:lang w:val="fr-CH"/>
              </w:rPr>
            </w:pPr>
            <w:r w:rsidRPr="00A14801">
              <w:rPr>
                <w:bCs/>
                <w:lang w:val="fr-CH"/>
              </w:rPr>
              <w:t>Rue Froissart 101</w:t>
            </w:r>
          </w:p>
          <w:p w14:paraId="3D3F6DF2" w14:textId="77777777" w:rsidR="00EA4725" w:rsidRPr="00A14801" w:rsidRDefault="00E11D5D" w:rsidP="00F3021D">
            <w:pPr>
              <w:keepNext/>
              <w:keepLines/>
              <w:rPr>
                <w:bCs/>
                <w:lang w:val="fr-CH"/>
              </w:rPr>
            </w:pPr>
            <w:r w:rsidRPr="00A14801">
              <w:rPr>
                <w:bCs/>
                <w:lang w:val="fr-CH"/>
              </w:rPr>
              <w:t>B-1049 Brussels</w:t>
            </w:r>
          </w:p>
          <w:p w14:paraId="4569AD16" w14:textId="77777777" w:rsidR="00EA4725" w:rsidRPr="00A14801" w:rsidRDefault="00E11D5D" w:rsidP="00F3021D">
            <w:pPr>
              <w:keepNext/>
              <w:keepLines/>
              <w:rPr>
                <w:bCs/>
                <w:lang w:val="fr-CH"/>
              </w:rPr>
            </w:pPr>
            <w:r w:rsidRPr="00A14801">
              <w:rPr>
                <w:bCs/>
                <w:lang w:val="fr-CH"/>
              </w:rPr>
              <w:t>Tel: +(32 2) 29 54263</w:t>
            </w:r>
          </w:p>
          <w:p w14:paraId="02220C79" w14:textId="77777777" w:rsidR="00EA4725" w:rsidRPr="0065690F" w:rsidRDefault="00E11D5D" w:rsidP="00F3021D">
            <w:pPr>
              <w:keepNext/>
              <w:keepLines/>
              <w:spacing w:after="120"/>
              <w:rPr>
                <w:bCs/>
              </w:rPr>
            </w:pPr>
            <w:r w:rsidRPr="0065690F">
              <w:rPr>
                <w:bCs/>
              </w:rPr>
              <w:t xml:space="preserve">E-mail: </w:t>
            </w:r>
            <w:hyperlink r:id="rId11" w:history="1">
              <w:r w:rsidRPr="0065690F">
                <w:rPr>
                  <w:bCs/>
                  <w:color w:val="0000FF"/>
                  <w:u w:val="single"/>
                </w:rPr>
                <w:t>sps@ec.europa.eu</w:t>
              </w:r>
            </w:hyperlink>
            <w:bookmarkEnd w:id="86"/>
          </w:p>
        </w:tc>
      </w:tr>
    </w:tbl>
    <w:p w14:paraId="4BA32B37" w14:textId="77777777" w:rsidR="007141CF" w:rsidRPr="00441372" w:rsidRDefault="007141CF" w:rsidP="00441372"/>
    <w:sectPr w:rsidR="007141CF" w:rsidRPr="00441372" w:rsidSect="00A14801">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6BE65" w14:textId="77777777" w:rsidR="005D02E1" w:rsidRDefault="00E11D5D">
      <w:r>
        <w:separator/>
      </w:r>
    </w:p>
  </w:endnote>
  <w:endnote w:type="continuationSeparator" w:id="0">
    <w:p w14:paraId="14672ACD" w14:textId="77777777" w:rsidR="005D02E1" w:rsidRDefault="00E11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94DCE" w14:textId="420B3E92" w:rsidR="00EA4725" w:rsidRPr="00A14801" w:rsidRDefault="00E11D5D" w:rsidP="00A1480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7E733" w14:textId="5E215079" w:rsidR="00EA4725" w:rsidRPr="00A14801" w:rsidRDefault="00E11D5D" w:rsidP="00A1480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043AD" w14:textId="77777777" w:rsidR="00C863EB" w:rsidRPr="00441372" w:rsidRDefault="00E11D5D"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1491A" w14:textId="77777777" w:rsidR="005D02E1" w:rsidRDefault="00E11D5D">
      <w:r>
        <w:separator/>
      </w:r>
    </w:p>
  </w:footnote>
  <w:footnote w:type="continuationSeparator" w:id="0">
    <w:p w14:paraId="5B6873C1" w14:textId="77777777" w:rsidR="005D02E1" w:rsidRDefault="00E11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7EAA7" w14:textId="77777777" w:rsidR="00A14801" w:rsidRPr="00A14801" w:rsidRDefault="00E11D5D" w:rsidP="00A14801">
    <w:pPr>
      <w:pStyle w:val="Header"/>
      <w:pBdr>
        <w:bottom w:val="single" w:sz="4" w:space="1" w:color="auto"/>
      </w:pBdr>
      <w:tabs>
        <w:tab w:val="clear" w:pos="4513"/>
        <w:tab w:val="clear" w:pos="9027"/>
      </w:tabs>
      <w:jc w:val="center"/>
    </w:pPr>
    <w:r w:rsidRPr="00A14801">
      <w:t>G/SPS/N/EU/694</w:t>
    </w:r>
  </w:p>
  <w:p w14:paraId="57D0FD07" w14:textId="77777777" w:rsidR="00A14801" w:rsidRPr="00A14801" w:rsidRDefault="00A14801" w:rsidP="00A14801">
    <w:pPr>
      <w:pStyle w:val="Header"/>
      <w:pBdr>
        <w:bottom w:val="single" w:sz="4" w:space="1" w:color="auto"/>
      </w:pBdr>
      <w:tabs>
        <w:tab w:val="clear" w:pos="4513"/>
        <w:tab w:val="clear" w:pos="9027"/>
      </w:tabs>
      <w:jc w:val="center"/>
    </w:pPr>
  </w:p>
  <w:p w14:paraId="637C0232" w14:textId="4CB1B09B" w:rsidR="00A14801" w:rsidRPr="00A14801" w:rsidRDefault="00E11D5D" w:rsidP="00A14801">
    <w:pPr>
      <w:pStyle w:val="Header"/>
      <w:pBdr>
        <w:bottom w:val="single" w:sz="4" w:space="1" w:color="auto"/>
      </w:pBdr>
      <w:tabs>
        <w:tab w:val="clear" w:pos="4513"/>
        <w:tab w:val="clear" w:pos="9027"/>
      </w:tabs>
      <w:jc w:val="center"/>
    </w:pPr>
    <w:r w:rsidRPr="00A14801">
      <w:t xml:space="preserve">- </w:t>
    </w:r>
    <w:r w:rsidRPr="00A14801">
      <w:fldChar w:fldCharType="begin"/>
    </w:r>
    <w:r w:rsidRPr="00A14801">
      <w:instrText xml:space="preserve"> PAGE </w:instrText>
    </w:r>
    <w:r w:rsidRPr="00A14801">
      <w:fldChar w:fldCharType="separate"/>
    </w:r>
    <w:r w:rsidRPr="00A14801">
      <w:rPr>
        <w:noProof/>
      </w:rPr>
      <w:t>2</w:t>
    </w:r>
    <w:r w:rsidRPr="00A14801">
      <w:fldChar w:fldCharType="end"/>
    </w:r>
    <w:r w:rsidRPr="00A14801">
      <w:t xml:space="preserve"> -</w:t>
    </w:r>
  </w:p>
  <w:p w14:paraId="190335C3" w14:textId="35A058D0" w:rsidR="00EA4725" w:rsidRPr="00A14801" w:rsidRDefault="00EA4725" w:rsidP="00A1480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1714D" w14:textId="77777777" w:rsidR="00A14801" w:rsidRPr="00A14801" w:rsidRDefault="00E11D5D" w:rsidP="00A14801">
    <w:pPr>
      <w:pStyle w:val="Header"/>
      <w:pBdr>
        <w:bottom w:val="single" w:sz="4" w:space="1" w:color="auto"/>
      </w:pBdr>
      <w:tabs>
        <w:tab w:val="clear" w:pos="4513"/>
        <w:tab w:val="clear" w:pos="9027"/>
      </w:tabs>
      <w:jc w:val="center"/>
    </w:pPr>
    <w:r w:rsidRPr="00A14801">
      <w:t>G/SPS/N/EU/694</w:t>
    </w:r>
  </w:p>
  <w:p w14:paraId="7B819790" w14:textId="77777777" w:rsidR="00A14801" w:rsidRPr="00A14801" w:rsidRDefault="00A14801" w:rsidP="00A14801">
    <w:pPr>
      <w:pStyle w:val="Header"/>
      <w:pBdr>
        <w:bottom w:val="single" w:sz="4" w:space="1" w:color="auto"/>
      </w:pBdr>
      <w:tabs>
        <w:tab w:val="clear" w:pos="4513"/>
        <w:tab w:val="clear" w:pos="9027"/>
      </w:tabs>
      <w:jc w:val="center"/>
    </w:pPr>
  </w:p>
  <w:p w14:paraId="077D8F5D" w14:textId="00348FE9" w:rsidR="00A14801" w:rsidRPr="00A14801" w:rsidRDefault="00E11D5D" w:rsidP="00A14801">
    <w:pPr>
      <w:pStyle w:val="Header"/>
      <w:pBdr>
        <w:bottom w:val="single" w:sz="4" w:space="1" w:color="auto"/>
      </w:pBdr>
      <w:tabs>
        <w:tab w:val="clear" w:pos="4513"/>
        <w:tab w:val="clear" w:pos="9027"/>
      </w:tabs>
      <w:jc w:val="center"/>
    </w:pPr>
    <w:r w:rsidRPr="00A14801">
      <w:t xml:space="preserve">- </w:t>
    </w:r>
    <w:r w:rsidRPr="00A14801">
      <w:fldChar w:fldCharType="begin"/>
    </w:r>
    <w:r w:rsidRPr="00A14801">
      <w:instrText xml:space="preserve"> PAGE </w:instrText>
    </w:r>
    <w:r w:rsidRPr="00A14801">
      <w:fldChar w:fldCharType="separate"/>
    </w:r>
    <w:r w:rsidRPr="00A14801">
      <w:rPr>
        <w:noProof/>
      </w:rPr>
      <w:t>2</w:t>
    </w:r>
    <w:r w:rsidRPr="00A14801">
      <w:fldChar w:fldCharType="end"/>
    </w:r>
    <w:r w:rsidRPr="00A14801">
      <w:t xml:space="preserve"> -</w:t>
    </w:r>
  </w:p>
  <w:p w14:paraId="5504FE3E" w14:textId="446C3D6E" w:rsidR="00EA4725" w:rsidRPr="00A14801" w:rsidRDefault="00EA4725" w:rsidP="00A1480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E618C" w14:paraId="03079031" w14:textId="77777777" w:rsidTr="00EE3CAF">
      <w:trPr>
        <w:trHeight w:val="240"/>
        <w:jc w:val="center"/>
      </w:trPr>
      <w:tc>
        <w:tcPr>
          <w:tcW w:w="3794" w:type="dxa"/>
          <w:shd w:val="clear" w:color="auto" w:fill="FFFFFF"/>
          <w:tcMar>
            <w:left w:w="108" w:type="dxa"/>
            <w:right w:w="108" w:type="dxa"/>
          </w:tcMar>
          <w:vAlign w:val="center"/>
        </w:tcPr>
        <w:p w14:paraId="39ADD096"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5C27EEF8" w14:textId="096EDDBB" w:rsidR="00ED54E0" w:rsidRPr="00EA4725" w:rsidRDefault="00E11D5D" w:rsidP="00422B6F">
          <w:pPr>
            <w:jc w:val="right"/>
            <w:rPr>
              <w:b/>
              <w:color w:val="FF0000"/>
              <w:szCs w:val="16"/>
            </w:rPr>
          </w:pPr>
          <w:r>
            <w:rPr>
              <w:b/>
              <w:color w:val="FF0000"/>
              <w:szCs w:val="16"/>
            </w:rPr>
            <w:t xml:space="preserve"> </w:t>
          </w:r>
        </w:p>
      </w:tc>
    </w:tr>
    <w:bookmarkEnd w:id="87"/>
    <w:tr w:rsidR="002E618C" w14:paraId="441B787E" w14:textId="77777777" w:rsidTr="00EE3CAF">
      <w:trPr>
        <w:trHeight w:val="213"/>
        <w:jc w:val="center"/>
      </w:trPr>
      <w:tc>
        <w:tcPr>
          <w:tcW w:w="3794" w:type="dxa"/>
          <w:vMerge w:val="restart"/>
          <w:shd w:val="clear" w:color="auto" w:fill="FFFFFF"/>
          <w:tcMar>
            <w:left w:w="0" w:type="dxa"/>
            <w:right w:w="0" w:type="dxa"/>
          </w:tcMar>
        </w:tcPr>
        <w:p w14:paraId="54335116" w14:textId="77777777" w:rsidR="00ED54E0" w:rsidRPr="00EA4725" w:rsidRDefault="00C62C45" w:rsidP="00422B6F">
          <w:pPr>
            <w:jc w:val="left"/>
          </w:pPr>
          <w:r>
            <w:rPr>
              <w:lang w:eastAsia="en-GB"/>
            </w:rPr>
            <w:pict w14:anchorId="677303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4FBA960E" w14:textId="77777777" w:rsidR="00ED54E0" w:rsidRPr="00EA4725" w:rsidRDefault="00ED54E0" w:rsidP="00422B6F">
          <w:pPr>
            <w:jc w:val="right"/>
            <w:rPr>
              <w:b/>
              <w:szCs w:val="16"/>
            </w:rPr>
          </w:pPr>
        </w:p>
      </w:tc>
    </w:tr>
    <w:tr w:rsidR="002E618C" w14:paraId="2EC59346" w14:textId="77777777" w:rsidTr="00EE3CAF">
      <w:trPr>
        <w:trHeight w:val="868"/>
        <w:jc w:val="center"/>
      </w:trPr>
      <w:tc>
        <w:tcPr>
          <w:tcW w:w="3794" w:type="dxa"/>
          <w:vMerge/>
          <w:shd w:val="clear" w:color="auto" w:fill="FFFFFF"/>
          <w:tcMar>
            <w:left w:w="108" w:type="dxa"/>
            <w:right w:w="108" w:type="dxa"/>
          </w:tcMar>
        </w:tcPr>
        <w:p w14:paraId="6CEA58B5"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02C9B235" w14:textId="77777777" w:rsidR="00A14801" w:rsidRDefault="00E11D5D" w:rsidP="00656ABC">
          <w:pPr>
            <w:jc w:val="right"/>
            <w:rPr>
              <w:b/>
              <w:szCs w:val="16"/>
            </w:rPr>
          </w:pPr>
          <w:bookmarkStart w:id="88" w:name="bmkSymbols"/>
          <w:r>
            <w:rPr>
              <w:b/>
              <w:szCs w:val="16"/>
            </w:rPr>
            <w:t>G/SPS/N/EU/694</w:t>
          </w:r>
          <w:bookmarkEnd w:id="88"/>
        </w:p>
      </w:tc>
    </w:tr>
    <w:tr w:rsidR="002E618C" w14:paraId="0146CC1A" w14:textId="77777777" w:rsidTr="00EE3CAF">
      <w:trPr>
        <w:trHeight w:val="240"/>
        <w:jc w:val="center"/>
      </w:trPr>
      <w:tc>
        <w:tcPr>
          <w:tcW w:w="3794" w:type="dxa"/>
          <w:vMerge/>
          <w:shd w:val="clear" w:color="auto" w:fill="FFFFFF"/>
          <w:tcMar>
            <w:left w:w="108" w:type="dxa"/>
            <w:right w:w="108" w:type="dxa"/>
          </w:tcMar>
          <w:vAlign w:val="center"/>
        </w:tcPr>
        <w:p w14:paraId="6CAFA59D" w14:textId="77777777" w:rsidR="00ED54E0" w:rsidRPr="00EA4725" w:rsidRDefault="00ED54E0" w:rsidP="00422B6F"/>
      </w:tc>
      <w:tc>
        <w:tcPr>
          <w:tcW w:w="5448" w:type="dxa"/>
          <w:gridSpan w:val="2"/>
          <w:shd w:val="clear" w:color="auto" w:fill="FFFFFF"/>
          <w:tcMar>
            <w:left w:w="108" w:type="dxa"/>
            <w:right w:w="108" w:type="dxa"/>
          </w:tcMar>
          <w:vAlign w:val="center"/>
        </w:tcPr>
        <w:p w14:paraId="2971794A" w14:textId="77777777" w:rsidR="00ED54E0" w:rsidRPr="00EA4725" w:rsidRDefault="00E11D5D" w:rsidP="00422B6F">
          <w:pPr>
            <w:jc w:val="right"/>
            <w:rPr>
              <w:szCs w:val="16"/>
            </w:rPr>
          </w:pPr>
          <w:bookmarkStart w:id="89" w:name="spsDateDistribution"/>
          <w:bookmarkStart w:id="90" w:name="bmkDate"/>
          <w:bookmarkEnd w:id="89"/>
          <w:r w:rsidRPr="00EA4725">
            <w:rPr>
              <w:szCs w:val="16"/>
            </w:rPr>
            <w:t>16 November 2023</w:t>
          </w:r>
          <w:bookmarkEnd w:id="90"/>
        </w:p>
      </w:tc>
    </w:tr>
    <w:tr w:rsidR="002E618C" w14:paraId="5B90265E"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410A81C" w14:textId="14D63D6F" w:rsidR="00ED54E0" w:rsidRPr="00EA4725" w:rsidRDefault="00E11D5D" w:rsidP="00422B6F">
          <w:pPr>
            <w:jc w:val="left"/>
            <w:rPr>
              <w:b/>
            </w:rPr>
          </w:pPr>
          <w:bookmarkStart w:id="91" w:name="bmkSerial"/>
          <w:r w:rsidRPr="00441372">
            <w:rPr>
              <w:color w:val="FF0000"/>
              <w:szCs w:val="16"/>
            </w:rPr>
            <w:t>(</w:t>
          </w:r>
          <w:bookmarkStart w:id="92" w:name="spsSerialNumber"/>
          <w:bookmarkEnd w:id="92"/>
          <w:r>
            <w:rPr>
              <w:color w:val="FF0000"/>
              <w:szCs w:val="16"/>
            </w:rPr>
            <w:t>23-</w:t>
          </w:r>
          <w:r w:rsidR="00C62C45">
            <w:rPr>
              <w:color w:val="FF0000"/>
              <w:szCs w:val="16"/>
            </w:rPr>
            <w:t>7741</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5E0E0985" w14:textId="77777777" w:rsidR="00ED54E0" w:rsidRPr="00EA4725" w:rsidRDefault="00E11D5D"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2E618C" w14:paraId="40E8F4AB"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41CCDA6" w14:textId="7F4F4D16" w:rsidR="00ED54E0" w:rsidRPr="00EA4725" w:rsidRDefault="00E11D5D"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200A298E" w14:textId="220B745C" w:rsidR="00ED54E0" w:rsidRPr="00441372" w:rsidRDefault="00E11D5D" w:rsidP="00EC687E">
          <w:pPr>
            <w:jc w:val="right"/>
            <w:rPr>
              <w:bCs/>
              <w:szCs w:val="18"/>
            </w:rPr>
          </w:pPr>
          <w:bookmarkStart w:id="95" w:name="bmkLanguage"/>
          <w:r>
            <w:rPr>
              <w:bCs/>
              <w:szCs w:val="18"/>
            </w:rPr>
            <w:t>Original: English</w:t>
          </w:r>
          <w:bookmarkEnd w:id="95"/>
        </w:p>
      </w:tc>
    </w:tr>
  </w:tbl>
  <w:p w14:paraId="43FF13EB"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00232E"/>
    <w:multiLevelType w:val="hybridMultilevel"/>
    <w:tmpl w:val="AC24737E"/>
    <w:lvl w:ilvl="0" w:tplc="1A10515A">
      <w:start w:val="1"/>
      <w:numFmt w:val="bullet"/>
      <w:lvlText w:val="-"/>
      <w:lvlJc w:val="left"/>
      <w:pPr>
        <w:ind w:left="720" w:hanging="360"/>
      </w:pPr>
      <w:rPr>
        <w:rFonts w:ascii="Symbol" w:hAnsi="Symbol" w:hint="default"/>
      </w:rPr>
    </w:lvl>
    <w:lvl w:ilvl="1" w:tplc="84567B64" w:tentative="1">
      <w:start w:val="1"/>
      <w:numFmt w:val="bullet"/>
      <w:lvlText w:val="o"/>
      <w:lvlJc w:val="left"/>
      <w:pPr>
        <w:ind w:left="1440" w:hanging="360"/>
      </w:pPr>
      <w:rPr>
        <w:rFonts w:ascii="Courier New" w:hAnsi="Courier New" w:cs="Courier New" w:hint="default"/>
      </w:rPr>
    </w:lvl>
    <w:lvl w:ilvl="2" w:tplc="456EF27C" w:tentative="1">
      <w:start w:val="1"/>
      <w:numFmt w:val="bullet"/>
      <w:lvlText w:val=""/>
      <w:lvlJc w:val="left"/>
      <w:pPr>
        <w:ind w:left="2160" w:hanging="360"/>
      </w:pPr>
      <w:rPr>
        <w:rFonts w:ascii="Wingdings" w:hAnsi="Wingdings" w:hint="default"/>
      </w:rPr>
    </w:lvl>
    <w:lvl w:ilvl="3" w:tplc="2C842142" w:tentative="1">
      <w:start w:val="1"/>
      <w:numFmt w:val="bullet"/>
      <w:lvlText w:val=""/>
      <w:lvlJc w:val="left"/>
      <w:pPr>
        <w:ind w:left="2880" w:hanging="360"/>
      </w:pPr>
      <w:rPr>
        <w:rFonts w:ascii="Symbol" w:hAnsi="Symbol" w:hint="default"/>
      </w:rPr>
    </w:lvl>
    <w:lvl w:ilvl="4" w:tplc="50846FF6" w:tentative="1">
      <w:start w:val="1"/>
      <w:numFmt w:val="bullet"/>
      <w:lvlText w:val="o"/>
      <w:lvlJc w:val="left"/>
      <w:pPr>
        <w:ind w:left="3600" w:hanging="360"/>
      </w:pPr>
      <w:rPr>
        <w:rFonts w:ascii="Courier New" w:hAnsi="Courier New" w:cs="Courier New" w:hint="default"/>
      </w:rPr>
    </w:lvl>
    <w:lvl w:ilvl="5" w:tplc="8E3060F6" w:tentative="1">
      <w:start w:val="1"/>
      <w:numFmt w:val="bullet"/>
      <w:lvlText w:val=""/>
      <w:lvlJc w:val="left"/>
      <w:pPr>
        <w:ind w:left="4320" w:hanging="360"/>
      </w:pPr>
      <w:rPr>
        <w:rFonts w:ascii="Wingdings" w:hAnsi="Wingdings" w:hint="default"/>
      </w:rPr>
    </w:lvl>
    <w:lvl w:ilvl="6" w:tplc="3028DCBA" w:tentative="1">
      <w:start w:val="1"/>
      <w:numFmt w:val="bullet"/>
      <w:lvlText w:val=""/>
      <w:lvlJc w:val="left"/>
      <w:pPr>
        <w:ind w:left="5040" w:hanging="360"/>
      </w:pPr>
      <w:rPr>
        <w:rFonts w:ascii="Symbol" w:hAnsi="Symbol" w:hint="default"/>
      </w:rPr>
    </w:lvl>
    <w:lvl w:ilvl="7" w:tplc="4A1EC402" w:tentative="1">
      <w:start w:val="1"/>
      <w:numFmt w:val="bullet"/>
      <w:lvlText w:val="o"/>
      <w:lvlJc w:val="left"/>
      <w:pPr>
        <w:ind w:left="5760" w:hanging="360"/>
      </w:pPr>
      <w:rPr>
        <w:rFonts w:ascii="Courier New" w:hAnsi="Courier New" w:cs="Courier New" w:hint="default"/>
      </w:rPr>
    </w:lvl>
    <w:lvl w:ilvl="8" w:tplc="1C2656FE"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01185E2C">
      <w:start w:val="1"/>
      <w:numFmt w:val="decimal"/>
      <w:pStyle w:val="SummaryText"/>
      <w:lvlText w:val="%1."/>
      <w:lvlJc w:val="left"/>
      <w:pPr>
        <w:ind w:left="360" w:hanging="360"/>
      </w:pPr>
    </w:lvl>
    <w:lvl w:ilvl="1" w:tplc="469E9BA2" w:tentative="1">
      <w:start w:val="1"/>
      <w:numFmt w:val="lowerLetter"/>
      <w:lvlText w:val="%2."/>
      <w:lvlJc w:val="left"/>
      <w:pPr>
        <w:ind w:left="1080" w:hanging="360"/>
      </w:pPr>
    </w:lvl>
    <w:lvl w:ilvl="2" w:tplc="3B3CC59A" w:tentative="1">
      <w:start w:val="1"/>
      <w:numFmt w:val="lowerRoman"/>
      <w:lvlText w:val="%3."/>
      <w:lvlJc w:val="right"/>
      <w:pPr>
        <w:ind w:left="1800" w:hanging="180"/>
      </w:pPr>
    </w:lvl>
    <w:lvl w:ilvl="3" w:tplc="49B03804" w:tentative="1">
      <w:start w:val="1"/>
      <w:numFmt w:val="decimal"/>
      <w:lvlText w:val="%4."/>
      <w:lvlJc w:val="left"/>
      <w:pPr>
        <w:ind w:left="2520" w:hanging="360"/>
      </w:pPr>
    </w:lvl>
    <w:lvl w:ilvl="4" w:tplc="5A98DF1C" w:tentative="1">
      <w:start w:val="1"/>
      <w:numFmt w:val="lowerLetter"/>
      <w:lvlText w:val="%5."/>
      <w:lvlJc w:val="left"/>
      <w:pPr>
        <w:ind w:left="3240" w:hanging="360"/>
      </w:pPr>
    </w:lvl>
    <w:lvl w:ilvl="5" w:tplc="E6CE1982" w:tentative="1">
      <w:start w:val="1"/>
      <w:numFmt w:val="lowerRoman"/>
      <w:lvlText w:val="%6."/>
      <w:lvlJc w:val="right"/>
      <w:pPr>
        <w:ind w:left="3960" w:hanging="180"/>
      </w:pPr>
    </w:lvl>
    <w:lvl w:ilvl="6" w:tplc="DA1CE600" w:tentative="1">
      <w:start w:val="1"/>
      <w:numFmt w:val="decimal"/>
      <w:lvlText w:val="%7."/>
      <w:lvlJc w:val="left"/>
      <w:pPr>
        <w:ind w:left="4680" w:hanging="360"/>
      </w:pPr>
    </w:lvl>
    <w:lvl w:ilvl="7" w:tplc="3282FC6E" w:tentative="1">
      <w:start w:val="1"/>
      <w:numFmt w:val="lowerLetter"/>
      <w:lvlText w:val="%8."/>
      <w:lvlJc w:val="left"/>
      <w:pPr>
        <w:ind w:left="5400" w:hanging="360"/>
      </w:pPr>
    </w:lvl>
    <w:lvl w:ilvl="8" w:tplc="B902F592" w:tentative="1">
      <w:start w:val="1"/>
      <w:numFmt w:val="lowerRoman"/>
      <w:lvlText w:val="%9."/>
      <w:lvlJc w:val="right"/>
      <w:pPr>
        <w:ind w:left="6120" w:hanging="180"/>
      </w:pPr>
    </w:lvl>
  </w:abstractNum>
  <w:abstractNum w:abstractNumId="15" w15:restartNumberingAfterBreak="0">
    <w:nsid w:val="747A2AB4"/>
    <w:multiLevelType w:val="hybridMultilevel"/>
    <w:tmpl w:val="9FF8608E"/>
    <w:lvl w:ilvl="0" w:tplc="866A2DC6">
      <w:numFmt w:val="bullet"/>
      <w:lvlText w:val="-"/>
      <w:lvlJc w:val="left"/>
      <w:pPr>
        <w:ind w:left="720" w:hanging="360"/>
      </w:pPr>
      <w:rPr>
        <w:rFonts w:ascii="Verdana" w:eastAsia="Calibri" w:hAnsi="Verdana" w:cs="Times New Roman" w:hint="default"/>
        <w:b w:val="0"/>
      </w:rPr>
    </w:lvl>
    <w:lvl w:ilvl="1" w:tplc="7EC82088" w:tentative="1">
      <w:start w:val="1"/>
      <w:numFmt w:val="bullet"/>
      <w:lvlText w:val="o"/>
      <w:lvlJc w:val="left"/>
      <w:pPr>
        <w:ind w:left="1440" w:hanging="360"/>
      </w:pPr>
      <w:rPr>
        <w:rFonts w:ascii="Courier New" w:hAnsi="Courier New" w:cs="Courier New" w:hint="default"/>
      </w:rPr>
    </w:lvl>
    <w:lvl w:ilvl="2" w:tplc="6B0ACA92" w:tentative="1">
      <w:start w:val="1"/>
      <w:numFmt w:val="bullet"/>
      <w:lvlText w:val=""/>
      <w:lvlJc w:val="left"/>
      <w:pPr>
        <w:ind w:left="2160" w:hanging="360"/>
      </w:pPr>
      <w:rPr>
        <w:rFonts w:ascii="Wingdings" w:hAnsi="Wingdings" w:hint="default"/>
      </w:rPr>
    </w:lvl>
    <w:lvl w:ilvl="3" w:tplc="E19814CC" w:tentative="1">
      <w:start w:val="1"/>
      <w:numFmt w:val="bullet"/>
      <w:lvlText w:val=""/>
      <w:lvlJc w:val="left"/>
      <w:pPr>
        <w:ind w:left="2880" w:hanging="360"/>
      </w:pPr>
      <w:rPr>
        <w:rFonts w:ascii="Symbol" w:hAnsi="Symbol" w:hint="default"/>
      </w:rPr>
    </w:lvl>
    <w:lvl w:ilvl="4" w:tplc="2A86C0E6" w:tentative="1">
      <w:start w:val="1"/>
      <w:numFmt w:val="bullet"/>
      <w:lvlText w:val="o"/>
      <w:lvlJc w:val="left"/>
      <w:pPr>
        <w:ind w:left="3600" w:hanging="360"/>
      </w:pPr>
      <w:rPr>
        <w:rFonts w:ascii="Courier New" w:hAnsi="Courier New" w:cs="Courier New" w:hint="default"/>
      </w:rPr>
    </w:lvl>
    <w:lvl w:ilvl="5" w:tplc="E6C0F52C" w:tentative="1">
      <w:start w:val="1"/>
      <w:numFmt w:val="bullet"/>
      <w:lvlText w:val=""/>
      <w:lvlJc w:val="left"/>
      <w:pPr>
        <w:ind w:left="4320" w:hanging="360"/>
      </w:pPr>
      <w:rPr>
        <w:rFonts w:ascii="Wingdings" w:hAnsi="Wingdings" w:hint="default"/>
      </w:rPr>
    </w:lvl>
    <w:lvl w:ilvl="6" w:tplc="1D6E4C8A" w:tentative="1">
      <w:start w:val="1"/>
      <w:numFmt w:val="bullet"/>
      <w:lvlText w:val=""/>
      <w:lvlJc w:val="left"/>
      <w:pPr>
        <w:ind w:left="5040" w:hanging="360"/>
      </w:pPr>
      <w:rPr>
        <w:rFonts w:ascii="Symbol" w:hAnsi="Symbol" w:hint="default"/>
      </w:rPr>
    </w:lvl>
    <w:lvl w:ilvl="7" w:tplc="A1E8B50C" w:tentative="1">
      <w:start w:val="1"/>
      <w:numFmt w:val="bullet"/>
      <w:lvlText w:val="o"/>
      <w:lvlJc w:val="left"/>
      <w:pPr>
        <w:ind w:left="5760" w:hanging="360"/>
      </w:pPr>
      <w:rPr>
        <w:rFonts w:ascii="Courier New" w:hAnsi="Courier New" w:cs="Courier New" w:hint="default"/>
      </w:rPr>
    </w:lvl>
    <w:lvl w:ilvl="8" w:tplc="01AA4138" w:tentative="1">
      <w:start w:val="1"/>
      <w:numFmt w:val="bullet"/>
      <w:lvlText w:val=""/>
      <w:lvlJc w:val="left"/>
      <w:pPr>
        <w:ind w:left="6480" w:hanging="360"/>
      </w:pPr>
      <w:rPr>
        <w:rFonts w:ascii="Wingdings" w:hAnsi="Wingdings" w:hint="default"/>
      </w:rPr>
    </w:lvl>
  </w:abstractNum>
  <w:num w:numId="1" w16cid:durableId="1415857282">
    <w:abstractNumId w:val="9"/>
  </w:num>
  <w:num w:numId="2" w16cid:durableId="1430588178">
    <w:abstractNumId w:val="7"/>
  </w:num>
  <w:num w:numId="3" w16cid:durableId="566455235">
    <w:abstractNumId w:val="6"/>
  </w:num>
  <w:num w:numId="4" w16cid:durableId="873925494">
    <w:abstractNumId w:val="5"/>
  </w:num>
  <w:num w:numId="5" w16cid:durableId="1641421050">
    <w:abstractNumId w:val="4"/>
  </w:num>
  <w:num w:numId="6" w16cid:durableId="1141265518">
    <w:abstractNumId w:val="13"/>
  </w:num>
  <w:num w:numId="7" w16cid:durableId="1101992841">
    <w:abstractNumId w:val="12"/>
  </w:num>
  <w:num w:numId="8" w16cid:durableId="1658000766">
    <w:abstractNumId w:val="11"/>
  </w:num>
  <w:num w:numId="9" w16cid:durableId="163897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56524244">
    <w:abstractNumId w:val="14"/>
  </w:num>
  <w:num w:numId="11" w16cid:durableId="199710976">
    <w:abstractNumId w:val="8"/>
  </w:num>
  <w:num w:numId="12" w16cid:durableId="1680540628">
    <w:abstractNumId w:val="3"/>
  </w:num>
  <w:num w:numId="13" w16cid:durableId="1579097513">
    <w:abstractNumId w:val="2"/>
  </w:num>
  <w:num w:numId="14" w16cid:durableId="980158885">
    <w:abstractNumId w:val="1"/>
  </w:num>
  <w:num w:numId="15" w16cid:durableId="792790984">
    <w:abstractNumId w:val="0"/>
  </w:num>
  <w:num w:numId="16" w16cid:durableId="359551070">
    <w:abstractNumId w:val="10"/>
  </w:num>
  <w:num w:numId="17" w16cid:durableId="2698947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2E618C"/>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02E1"/>
    <w:rsid w:val="005D5981"/>
    <w:rsid w:val="005E6F8D"/>
    <w:rsid w:val="005F30CB"/>
    <w:rsid w:val="00612644"/>
    <w:rsid w:val="0065690F"/>
    <w:rsid w:val="00656ABC"/>
    <w:rsid w:val="006647DB"/>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14801"/>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2C45"/>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11D5D"/>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2A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3/SPS/EEC/23_13474_00_f.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s@ec.europa.e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ps@ec.europa.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mbers.wto.org/crnattachments/2023/SPS/EEC/23_13474_00_s.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216ebf28-0f55-498a-91df-42f5e5f87416</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53969F4C-B300-44BF-B1D7-1ACA897471EB}">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2023-11-16T14:48:00Z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G/SPS/N/EU/694</vt:lpwstr>
  </property>
  <property fmtid="{D5CDD505-2E9C-101B-9397-08002B2CF9AE}" pid="3" name="TitusGUID">
    <vt:lpwstr>216ebf28-0f55-498a-91df-42f5e5f87416</vt:lpwstr>
  </property>
  <property fmtid="{D5CDD505-2E9C-101B-9397-08002B2CF9AE}" pid="4" name="WTOCLASSIFICATION">
    <vt:lpwstr>WTO OFFICIAL</vt:lpwstr>
  </property>
</Properties>
</file>