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2F4D" w14:textId="77777777" w:rsidR="00EA4725" w:rsidRPr="00441372" w:rsidRDefault="00DC0D96" w:rsidP="00556DF7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13019" w14:paraId="70C995C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DAF79CF" w14:textId="77777777" w:rsidR="00EA4725" w:rsidRPr="00441372" w:rsidRDefault="00DC0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FE0D610" w14:textId="77777777" w:rsidR="00EA4725" w:rsidRPr="00441372" w:rsidRDefault="00DC0D9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KINGDOM</w:t>
            </w:r>
            <w:bookmarkEnd w:id="1"/>
          </w:p>
          <w:p w14:paraId="5F80F1D0" w14:textId="77777777" w:rsidR="00EA4725" w:rsidRPr="00441372" w:rsidRDefault="00DC0D9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13019" w14:paraId="17CF88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3A546" w14:textId="77777777" w:rsidR="00EA4725" w:rsidRPr="00441372" w:rsidRDefault="00DC0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827E6" w14:textId="77777777" w:rsidR="00EA4725" w:rsidRPr="00441372" w:rsidRDefault="00DC0D9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for Environment, Food and Rural Affairs</w:t>
            </w:r>
            <w:bookmarkEnd w:id="5"/>
          </w:p>
        </w:tc>
      </w:tr>
      <w:tr w:rsidR="00F13019" w14:paraId="53F5941F" w14:textId="7E4CA4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896C0" w14:textId="77777777" w:rsidR="00EA4725" w:rsidRPr="00441372" w:rsidRDefault="00DC0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C0191" w14:textId="33B423ED" w:rsidR="00EA4725" w:rsidRPr="00DD4ED5" w:rsidRDefault="00DC0D96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All plants, plant products and other objects</w:t>
            </w:r>
            <w:r w:rsidR="0097729E">
              <w:t>:</w:t>
            </w:r>
          </w:p>
          <w:p w14:paraId="2B54EBE6" w14:textId="6DFCF945" w:rsidR="00B970B6" w:rsidRPr="0065690F" w:rsidRDefault="00DC0D96" w:rsidP="00DD4ED5">
            <w:pPr>
              <w:numPr>
                <w:ilvl w:val="0"/>
                <w:numId w:val="18"/>
              </w:numPr>
              <w:ind w:left="358"/>
            </w:pPr>
            <w:r w:rsidRPr="006D0148">
              <w:t xml:space="preserve">Plants, including cut branches of </w:t>
            </w:r>
            <w:r w:rsidRPr="006D0148">
              <w:rPr>
                <w:i/>
                <w:iCs/>
              </w:rPr>
              <w:t>Acer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Aesculus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 xml:space="preserve">Arbutus </w:t>
            </w:r>
            <w:proofErr w:type="spellStart"/>
            <w:r w:rsidRPr="006D0148">
              <w:rPr>
                <w:i/>
                <w:iCs/>
              </w:rPr>
              <w:t>menziesii</w:t>
            </w:r>
            <w:proofErr w:type="spellEnd"/>
            <w:r w:rsidRPr="006D0148">
              <w:t xml:space="preserve">, </w:t>
            </w:r>
            <w:r w:rsidRPr="006D0148">
              <w:rPr>
                <w:i/>
                <w:iCs/>
              </w:rPr>
              <w:t>Betula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Carpinus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 xml:space="preserve">Carya </w:t>
            </w:r>
            <w:proofErr w:type="spellStart"/>
            <w:r w:rsidRPr="006D0148">
              <w:rPr>
                <w:i/>
                <w:iCs/>
              </w:rPr>
              <w:t>illinoinensis</w:t>
            </w:r>
            <w:proofErr w:type="spellEnd"/>
            <w:r w:rsidRPr="006D0148">
              <w:t xml:space="preserve">, </w:t>
            </w:r>
            <w:r w:rsidRPr="006D0148">
              <w:rPr>
                <w:i/>
                <w:iCs/>
              </w:rPr>
              <w:t>Ceanothus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Cercis</w:t>
            </w:r>
            <w:r w:rsidRPr="006D0148">
              <w:t xml:space="preserve">, </w:t>
            </w:r>
            <w:proofErr w:type="spellStart"/>
            <w:r w:rsidRPr="006D0148">
              <w:rPr>
                <w:i/>
                <w:iCs/>
              </w:rPr>
              <w:t>Cercocarpus</w:t>
            </w:r>
            <w:proofErr w:type="spellEnd"/>
            <w:r w:rsidRPr="006D0148">
              <w:rPr>
                <w:i/>
                <w:iCs/>
              </w:rPr>
              <w:t xml:space="preserve"> </w:t>
            </w:r>
            <w:proofErr w:type="spellStart"/>
            <w:r w:rsidRPr="006D0148">
              <w:rPr>
                <w:i/>
                <w:iCs/>
              </w:rPr>
              <w:t>montanus</w:t>
            </w:r>
            <w:proofErr w:type="spellEnd"/>
            <w:r w:rsidRPr="006D0148">
              <w:t xml:space="preserve">, </w:t>
            </w:r>
            <w:proofErr w:type="spellStart"/>
            <w:r w:rsidRPr="006D0148">
              <w:rPr>
                <w:i/>
                <w:iCs/>
              </w:rPr>
              <w:t>Cornus</w:t>
            </w:r>
            <w:proofErr w:type="spellEnd"/>
            <w:r w:rsidRPr="006D0148">
              <w:t xml:space="preserve">, </w:t>
            </w:r>
            <w:r w:rsidRPr="006D0148">
              <w:rPr>
                <w:i/>
                <w:iCs/>
              </w:rPr>
              <w:t>Corylus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Crataegus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Eriobotrya japonica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Fagus sylvatica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 xml:space="preserve">Ficus </w:t>
            </w:r>
            <w:proofErr w:type="spellStart"/>
            <w:r w:rsidRPr="006D0148">
              <w:rPr>
                <w:i/>
                <w:iCs/>
              </w:rPr>
              <w:t>carica</w:t>
            </w:r>
            <w:proofErr w:type="spellEnd"/>
            <w:r w:rsidRPr="006D0148">
              <w:t xml:space="preserve">, </w:t>
            </w:r>
            <w:r w:rsidRPr="006D0148">
              <w:rPr>
                <w:i/>
                <w:iCs/>
              </w:rPr>
              <w:t>Frangula californica</w:t>
            </w:r>
            <w:r w:rsidRPr="006D0148">
              <w:t xml:space="preserve">, </w:t>
            </w:r>
            <w:proofErr w:type="spellStart"/>
            <w:r w:rsidRPr="006D0148">
              <w:rPr>
                <w:i/>
                <w:iCs/>
              </w:rPr>
              <w:t>Heteromeles</w:t>
            </w:r>
            <w:proofErr w:type="spellEnd"/>
            <w:r w:rsidRPr="006D0148">
              <w:rPr>
                <w:i/>
                <w:iCs/>
              </w:rPr>
              <w:t xml:space="preserve"> </w:t>
            </w:r>
            <w:proofErr w:type="spellStart"/>
            <w:r w:rsidRPr="006D0148">
              <w:rPr>
                <w:i/>
                <w:iCs/>
              </w:rPr>
              <w:t>arbutifolia</w:t>
            </w:r>
            <w:proofErr w:type="spellEnd"/>
            <w:r w:rsidRPr="006D0148">
              <w:t xml:space="preserve">, </w:t>
            </w:r>
            <w:r w:rsidRPr="006D0148">
              <w:rPr>
                <w:i/>
                <w:iCs/>
              </w:rPr>
              <w:t>Juglans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Juglans regia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Malus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Ostrya virginiana</w:t>
            </w:r>
            <w:r w:rsidRPr="006D0148">
              <w:t xml:space="preserve">, </w:t>
            </w:r>
            <w:proofErr w:type="spellStart"/>
            <w:r w:rsidRPr="006D0148">
              <w:rPr>
                <w:i/>
                <w:iCs/>
              </w:rPr>
              <w:t>Pickeringia</w:t>
            </w:r>
            <w:proofErr w:type="spellEnd"/>
            <w:r w:rsidR="006D0148">
              <w:rPr>
                <w:i/>
                <w:iCs/>
              </w:rPr>
              <w:t> </w:t>
            </w:r>
            <w:proofErr w:type="spellStart"/>
            <w:r w:rsidRPr="006D0148">
              <w:rPr>
                <w:i/>
                <w:iCs/>
              </w:rPr>
              <w:t>montana</w:t>
            </w:r>
            <w:proofErr w:type="spellEnd"/>
            <w:r w:rsidRPr="006D0148">
              <w:t xml:space="preserve">, </w:t>
            </w:r>
            <w:r w:rsidRPr="006D0148">
              <w:rPr>
                <w:i/>
                <w:iCs/>
              </w:rPr>
              <w:t>Platanus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Platanus occidentalis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Populus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Prunus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Pyrus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Pyrus</w:t>
            </w:r>
            <w:r w:rsidR="006D0148">
              <w:rPr>
                <w:i/>
                <w:iCs/>
              </w:rPr>
              <w:t> </w:t>
            </w:r>
            <w:r w:rsidRPr="006D0148">
              <w:rPr>
                <w:i/>
                <w:iCs/>
              </w:rPr>
              <w:t>communis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Quercus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Ribes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Rosa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Salix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>Sorbus aucuparia</w:t>
            </w:r>
            <w:r w:rsidRPr="006D0148">
              <w:t xml:space="preserve">, </w:t>
            </w:r>
            <w:proofErr w:type="spellStart"/>
            <w:r w:rsidRPr="006D0148">
              <w:rPr>
                <w:i/>
                <w:iCs/>
              </w:rPr>
              <w:t>Tilia</w:t>
            </w:r>
            <w:proofErr w:type="spellEnd"/>
            <w:r w:rsidRPr="006D0148">
              <w:t xml:space="preserve">, </w:t>
            </w:r>
            <w:proofErr w:type="spellStart"/>
            <w:r w:rsidRPr="006D0148">
              <w:rPr>
                <w:i/>
                <w:iCs/>
              </w:rPr>
              <w:t>Ulmus</w:t>
            </w:r>
            <w:proofErr w:type="spellEnd"/>
            <w:r w:rsidRPr="006D0148">
              <w:t xml:space="preserve">, </w:t>
            </w:r>
            <w:r w:rsidRPr="006D0148">
              <w:rPr>
                <w:i/>
                <w:iCs/>
              </w:rPr>
              <w:t>Vaccinium</w:t>
            </w:r>
            <w:r w:rsidRPr="006D0148">
              <w:t xml:space="preserve">, </w:t>
            </w:r>
            <w:r w:rsidRPr="006D0148">
              <w:rPr>
                <w:i/>
                <w:iCs/>
              </w:rPr>
              <w:t xml:space="preserve">Vaccinium </w:t>
            </w:r>
            <w:proofErr w:type="spellStart"/>
            <w:r w:rsidRPr="006D0148">
              <w:rPr>
                <w:i/>
                <w:iCs/>
              </w:rPr>
              <w:t>darrowii</w:t>
            </w:r>
            <w:proofErr w:type="spellEnd"/>
            <w:r w:rsidRPr="006D0148">
              <w:t xml:space="preserve">. </w:t>
            </w:r>
            <w:r w:rsidRPr="0065690F">
              <w:t>Does not cover the seeds, tissue cultures and pollen of the plants listed above</w:t>
            </w:r>
            <w:r w:rsidR="0097729E">
              <w:t>;</w:t>
            </w:r>
          </w:p>
          <w:p w14:paraId="73EA9052" w14:textId="1CF3CB26" w:rsidR="00B970B6" w:rsidRPr="0065690F" w:rsidRDefault="00DC0D96" w:rsidP="00DD4ED5">
            <w:pPr>
              <w:numPr>
                <w:ilvl w:val="0"/>
                <w:numId w:val="18"/>
              </w:numPr>
              <w:ind w:left="358"/>
            </w:pPr>
            <w:r w:rsidRPr="0065690F">
              <w:t xml:space="preserve">Wood of </w:t>
            </w:r>
            <w:r w:rsidRPr="0065690F">
              <w:rPr>
                <w:i/>
                <w:iCs/>
              </w:rPr>
              <w:t>Acer</w:t>
            </w:r>
            <w:r w:rsidRPr="0097729E">
              <w:t xml:space="preserve">, </w:t>
            </w:r>
            <w:r w:rsidRPr="0065690F">
              <w:rPr>
                <w:i/>
                <w:iCs/>
              </w:rPr>
              <w:t>Aesculus</w:t>
            </w:r>
            <w:r w:rsidRPr="0097729E">
              <w:t xml:space="preserve">, </w:t>
            </w:r>
            <w:r w:rsidRPr="0065690F">
              <w:rPr>
                <w:i/>
                <w:iCs/>
              </w:rPr>
              <w:t>Betula</w:t>
            </w:r>
            <w:r w:rsidRPr="0097729E">
              <w:t xml:space="preserve">, </w:t>
            </w:r>
            <w:r w:rsidRPr="0065690F">
              <w:rPr>
                <w:i/>
                <w:iCs/>
              </w:rPr>
              <w:t>Carpinus</w:t>
            </w:r>
            <w:r w:rsidRPr="0097729E">
              <w:t xml:space="preserve">, </w:t>
            </w:r>
            <w:r w:rsidRPr="0065690F">
              <w:rPr>
                <w:i/>
                <w:iCs/>
              </w:rPr>
              <w:t xml:space="preserve">Carya </w:t>
            </w:r>
            <w:proofErr w:type="spellStart"/>
            <w:r w:rsidRPr="0065690F">
              <w:rPr>
                <w:i/>
                <w:iCs/>
              </w:rPr>
              <w:t>illinoinensis</w:t>
            </w:r>
            <w:proofErr w:type="spellEnd"/>
            <w:r w:rsidRPr="0097729E">
              <w:t xml:space="preserve">, </w:t>
            </w:r>
            <w:r w:rsidRPr="0065690F">
              <w:rPr>
                <w:i/>
                <w:iCs/>
              </w:rPr>
              <w:t>Corylus, Crataegus</w:t>
            </w:r>
            <w:r w:rsidRPr="0097729E">
              <w:t xml:space="preserve">, </w:t>
            </w:r>
            <w:r w:rsidRPr="0065690F">
              <w:rPr>
                <w:i/>
                <w:iCs/>
              </w:rPr>
              <w:t>Fagus sylvatica</w:t>
            </w:r>
            <w:r w:rsidRPr="0097729E">
              <w:t xml:space="preserve">, </w:t>
            </w:r>
            <w:r w:rsidRPr="0065690F">
              <w:rPr>
                <w:i/>
                <w:iCs/>
              </w:rPr>
              <w:t>Juglans</w:t>
            </w:r>
            <w:r w:rsidRPr="0097729E">
              <w:t xml:space="preserve">, </w:t>
            </w:r>
            <w:r w:rsidRPr="0065690F">
              <w:rPr>
                <w:i/>
                <w:iCs/>
              </w:rPr>
              <w:t>Juglans regia</w:t>
            </w:r>
            <w:r w:rsidRPr="0097729E">
              <w:t xml:space="preserve">, </w:t>
            </w:r>
            <w:r w:rsidRPr="0065690F">
              <w:rPr>
                <w:i/>
                <w:iCs/>
              </w:rPr>
              <w:t>Malus</w:t>
            </w:r>
            <w:r w:rsidRPr="0097729E">
              <w:t xml:space="preserve">, </w:t>
            </w:r>
            <w:r w:rsidRPr="0065690F">
              <w:rPr>
                <w:i/>
                <w:iCs/>
              </w:rPr>
              <w:t>Platanus</w:t>
            </w:r>
            <w:r w:rsidRPr="0097729E">
              <w:t xml:space="preserve">, </w:t>
            </w:r>
            <w:r w:rsidRPr="0065690F">
              <w:rPr>
                <w:i/>
                <w:iCs/>
              </w:rPr>
              <w:t>Platanus occidentalis</w:t>
            </w:r>
            <w:r w:rsidRPr="0097729E">
              <w:t xml:space="preserve">, </w:t>
            </w:r>
            <w:r w:rsidRPr="0065690F">
              <w:rPr>
                <w:i/>
                <w:iCs/>
              </w:rPr>
              <w:t>Populus</w:t>
            </w:r>
            <w:r w:rsidRPr="0097729E">
              <w:t xml:space="preserve">, </w:t>
            </w:r>
            <w:r w:rsidRPr="0065690F">
              <w:rPr>
                <w:i/>
                <w:iCs/>
              </w:rPr>
              <w:t>Prunus</w:t>
            </w:r>
            <w:r w:rsidRPr="0097729E">
              <w:t xml:space="preserve">, </w:t>
            </w:r>
            <w:r w:rsidRPr="0065690F">
              <w:rPr>
                <w:i/>
                <w:iCs/>
              </w:rPr>
              <w:t>Pyrus</w:t>
            </w:r>
            <w:r w:rsidRPr="0097729E">
              <w:t xml:space="preserve">, </w:t>
            </w:r>
            <w:r w:rsidRPr="0065690F">
              <w:rPr>
                <w:i/>
                <w:iCs/>
              </w:rPr>
              <w:t>Pyrus communis</w:t>
            </w:r>
            <w:r w:rsidRPr="0097729E">
              <w:t xml:space="preserve">, </w:t>
            </w:r>
            <w:r w:rsidRPr="0065690F">
              <w:rPr>
                <w:i/>
                <w:iCs/>
              </w:rPr>
              <w:t>Quercus, Salix</w:t>
            </w:r>
            <w:r w:rsidRPr="0097729E">
              <w:t xml:space="preserve">, </w:t>
            </w:r>
            <w:r w:rsidRPr="0065690F">
              <w:rPr>
                <w:i/>
                <w:iCs/>
              </w:rPr>
              <w:t>Sorbus aucuparia</w:t>
            </w:r>
            <w:r w:rsidRPr="0097729E">
              <w:t xml:space="preserve">, </w:t>
            </w:r>
            <w:proofErr w:type="spellStart"/>
            <w:r w:rsidRPr="0065690F">
              <w:rPr>
                <w:i/>
                <w:iCs/>
              </w:rPr>
              <w:t>Tilia</w:t>
            </w:r>
            <w:proofErr w:type="spellEnd"/>
            <w:r w:rsidRPr="0097729E">
              <w:t xml:space="preserve">, </w:t>
            </w:r>
            <w:proofErr w:type="spellStart"/>
            <w:r w:rsidRPr="0065690F">
              <w:rPr>
                <w:i/>
                <w:iCs/>
              </w:rPr>
              <w:t>Ulmus</w:t>
            </w:r>
            <w:proofErr w:type="spellEnd"/>
            <w:r w:rsidR="0097729E" w:rsidRPr="0097729E">
              <w:t>;</w:t>
            </w:r>
          </w:p>
          <w:p w14:paraId="08AF9BB8" w14:textId="4E927C41" w:rsidR="00B970B6" w:rsidRPr="0065690F" w:rsidRDefault="00DC0D96" w:rsidP="00DD4ED5">
            <w:pPr>
              <w:numPr>
                <w:ilvl w:val="0"/>
                <w:numId w:val="18"/>
              </w:numPr>
              <w:spacing w:after="120"/>
              <w:ind w:left="358"/>
            </w:pPr>
            <w:r w:rsidRPr="0065690F">
              <w:t xml:space="preserve">Seed of </w:t>
            </w:r>
            <w:r w:rsidRPr="0065690F">
              <w:rPr>
                <w:i/>
                <w:iCs/>
              </w:rPr>
              <w:t xml:space="preserve">Solanum </w:t>
            </w:r>
            <w:proofErr w:type="spellStart"/>
            <w:r w:rsidRPr="0065690F">
              <w:rPr>
                <w:i/>
                <w:iCs/>
              </w:rPr>
              <w:t>sisymbriifolium</w:t>
            </w:r>
            <w:proofErr w:type="spellEnd"/>
            <w:r w:rsidRPr="0065690F">
              <w:t>.</w:t>
            </w:r>
            <w:bookmarkEnd w:id="7"/>
          </w:p>
        </w:tc>
      </w:tr>
      <w:tr w:rsidR="00F13019" w14:paraId="3AB73B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03E89" w14:textId="77777777" w:rsidR="00EA4725" w:rsidRPr="00441372" w:rsidRDefault="00DC0D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BB602" w14:textId="77777777" w:rsidR="00EA4725" w:rsidRPr="00441372" w:rsidRDefault="00DC0D9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C7232F6" w14:textId="77777777" w:rsidR="00EA4725" w:rsidRPr="00441372" w:rsidRDefault="00DC0D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419BEBE" w14:textId="77777777" w:rsidR="00EA4725" w:rsidRPr="00441372" w:rsidRDefault="00DC0D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13019" w14:paraId="69FA26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F3AC9" w14:textId="77777777" w:rsidR="00EA4725" w:rsidRPr="00441372" w:rsidRDefault="00DC0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EEC5D" w14:textId="2266F4C5" w:rsidR="00EA4725" w:rsidRPr="00441372" w:rsidRDefault="00DC0D9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="006D0148">
              <w:t>A</w:t>
            </w:r>
            <w:r w:rsidRPr="0065690F">
              <w:t>mendments to Commission Implementing Regulation (EU) 2019/2072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="006D0148">
              <w:t>15</w:t>
            </w:r>
            <w:bookmarkEnd w:id="20"/>
          </w:p>
          <w:bookmarkStart w:id="21" w:name="sps5d"/>
          <w:p w14:paraId="432E803B" w14:textId="5075A259" w:rsidR="00EA4725" w:rsidRPr="00556DF7" w:rsidRDefault="00DC0D96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"https://members.wto.org/crnattachments/2023/SPS/GBR/23_14818_00_e.pdf"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https://members.wto.org/crnattachments/2023/SPS/GBR/23_14818_00_e.pdf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13019" w14:paraId="1FFEBE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4CF5F" w14:textId="77777777" w:rsidR="00EA4725" w:rsidRPr="00441372" w:rsidRDefault="00DC0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44921" w14:textId="1804546A" w:rsidR="00EA4725" w:rsidRPr="00441372" w:rsidRDefault="00DC0D9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following amendments are being made to England, Scotland and Wales (Great Britain) retained legislation (Commission Implementing Regulation (EU)</w:t>
            </w:r>
            <w:r w:rsidR="008D5B87">
              <w:t> </w:t>
            </w:r>
            <w:r w:rsidRPr="0065690F">
              <w:t>2019/2072):</w:t>
            </w:r>
          </w:p>
          <w:p w14:paraId="57D633C1" w14:textId="777EE699" w:rsidR="00B970B6" w:rsidRPr="0065690F" w:rsidRDefault="00DC0D96" w:rsidP="008D5B87">
            <w:pPr>
              <w:numPr>
                <w:ilvl w:val="0"/>
                <w:numId w:val="19"/>
              </w:numPr>
              <w:spacing w:before="120"/>
              <w:ind w:left="340" w:hanging="306"/>
            </w:pPr>
            <w:r w:rsidRPr="0065690F">
              <w:t>The addition of new GB Quarantine Pests (</w:t>
            </w:r>
            <w:proofErr w:type="spellStart"/>
            <w:r w:rsidRPr="0065690F">
              <w:t>QPs</w:t>
            </w:r>
            <w:proofErr w:type="spellEnd"/>
            <w:r w:rsidRPr="0065690F">
              <w:t xml:space="preserve">) which have been assessed as meeting the criteria to be a </w:t>
            </w:r>
            <w:proofErr w:type="spellStart"/>
            <w:r w:rsidRPr="0065690F">
              <w:t>QP</w:t>
            </w:r>
            <w:proofErr w:type="spellEnd"/>
            <w:r w:rsidRPr="0065690F">
              <w:t>:</w:t>
            </w:r>
          </w:p>
          <w:p w14:paraId="4F8C58DE" w14:textId="5EE8803C" w:rsidR="00B970B6" w:rsidRPr="0065690F" w:rsidRDefault="00DC0D96" w:rsidP="008D5B87">
            <w:pPr>
              <w:numPr>
                <w:ilvl w:val="0"/>
                <w:numId w:val="21"/>
              </w:numPr>
              <w:tabs>
                <w:tab w:val="left" w:pos="722"/>
              </w:tabs>
              <w:ind w:left="714" w:hanging="357"/>
            </w:pPr>
            <w:proofErr w:type="spellStart"/>
            <w:r w:rsidRPr="0065690F">
              <w:rPr>
                <w:i/>
                <w:iCs/>
              </w:rPr>
              <w:t>Chrysobothris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femorata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r w:rsidRPr="0065690F">
              <w:t>– with specific import requirements on host plants and wood from Canada and the United States</w:t>
            </w:r>
            <w:r w:rsidR="00556DF7">
              <w:t>;</w:t>
            </w:r>
          </w:p>
          <w:p w14:paraId="563A09C0" w14:textId="71D45386" w:rsidR="00B970B6" w:rsidRPr="0065690F" w:rsidRDefault="00DC0D96" w:rsidP="008D5B87">
            <w:pPr>
              <w:numPr>
                <w:ilvl w:val="0"/>
                <w:numId w:val="21"/>
              </w:numPr>
              <w:tabs>
                <w:tab w:val="left" w:pos="722"/>
              </w:tabs>
              <w:ind w:left="714" w:hanging="357"/>
            </w:pPr>
            <w:proofErr w:type="spellStart"/>
            <w:r w:rsidRPr="0065690F">
              <w:rPr>
                <w:i/>
                <w:iCs/>
              </w:rPr>
              <w:t>Chrysobothris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mali</w:t>
            </w:r>
            <w:proofErr w:type="spellEnd"/>
            <w:r w:rsidRPr="0065690F">
              <w:t xml:space="preserve"> – with specific import requirements on host plants and wood from Canada and the United States</w:t>
            </w:r>
            <w:r w:rsidR="00556DF7">
              <w:t>;</w:t>
            </w:r>
          </w:p>
          <w:p w14:paraId="0B94E112" w14:textId="27BB4F81" w:rsidR="00B970B6" w:rsidRPr="0065690F" w:rsidRDefault="00DC0D96" w:rsidP="008D5B87">
            <w:pPr>
              <w:numPr>
                <w:ilvl w:val="0"/>
                <w:numId w:val="21"/>
              </w:numPr>
              <w:tabs>
                <w:tab w:val="left" w:pos="722"/>
              </w:tabs>
              <w:ind w:left="714" w:hanging="357"/>
            </w:pPr>
            <w:r w:rsidRPr="0065690F">
              <w:t xml:space="preserve">Chilli </w:t>
            </w:r>
            <w:proofErr w:type="spellStart"/>
            <w:r w:rsidRPr="0065690F">
              <w:t>veinal</w:t>
            </w:r>
            <w:proofErr w:type="spellEnd"/>
            <w:r w:rsidRPr="0065690F">
              <w:t xml:space="preserve"> mottle virus – no specific import requirements</w:t>
            </w:r>
            <w:r w:rsidR="00556DF7">
              <w:t>;</w:t>
            </w:r>
          </w:p>
          <w:p w14:paraId="698B2C9A" w14:textId="5AE3A23D" w:rsidR="00B970B6" w:rsidRPr="0065690F" w:rsidRDefault="00DC0D96" w:rsidP="00556DF7">
            <w:pPr>
              <w:numPr>
                <w:ilvl w:val="0"/>
                <w:numId w:val="21"/>
              </w:numPr>
              <w:tabs>
                <w:tab w:val="left" w:pos="722"/>
              </w:tabs>
              <w:ind w:left="714" w:hanging="357"/>
            </w:pPr>
            <w:proofErr w:type="spellStart"/>
            <w:r w:rsidRPr="0065690F">
              <w:rPr>
                <w:i/>
                <w:iCs/>
              </w:rPr>
              <w:t>Lycorma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delicatula</w:t>
            </w:r>
            <w:proofErr w:type="spellEnd"/>
            <w:r w:rsidRPr="0065690F">
              <w:t xml:space="preserve"> – no specific import requirements</w:t>
            </w:r>
            <w:r w:rsidR="00556DF7">
              <w:t>.</w:t>
            </w:r>
          </w:p>
          <w:p w14:paraId="1B3B1193" w14:textId="59598259" w:rsidR="00B970B6" w:rsidRPr="0065690F" w:rsidRDefault="00DC0D96" w:rsidP="00556DF7">
            <w:pPr>
              <w:numPr>
                <w:ilvl w:val="0"/>
                <w:numId w:val="19"/>
              </w:numPr>
              <w:ind w:left="340" w:hanging="306"/>
            </w:pPr>
            <w:r w:rsidRPr="0065690F">
              <w:t>The addition of new GB Provisional Quarantine Pests (</w:t>
            </w:r>
            <w:proofErr w:type="spellStart"/>
            <w:r w:rsidRPr="0065690F">
              <w:t>PQPs</w:t>
            </w:r>
            <w:proofErr w:type="spellEnd"/>
            <w:r w:rsidRPr="0065690F">
              <w:t xml:space="preserve">) which have been assessed as meeting the criteria to be a </w:t>
            </w:r>
            <w:proofErr w:type="spellStart"/>
            <w:r w:rsidRPr="0065690F">
              <w:t>QP</w:t>
            </w:r>
            <w:proofErr w:type="spellEnd"/>
            <w:r w:rsidRPr="0065690F">
              <w:t xml:space="preserve"> based on a provisional assessment:</w:t>
            </w:r>
          </w:p>
          <w:p w14:paraId="441DF105" w14:textId="000DD617" w:rsidR="00B970B6" w:rsidRPr="0065690F" w:rsidRDefault="00DC0D96" w:rsidP="008D5B87">
            <w:pPr>
              <w:numPr>
                <w:ilvl w:val="0"/>
                <w:numId w:val="21"/>
              </w:numPr>
              <w:tabs>
                <w:tab w:val="left" w:pos="722"/>
              </w:tabs>
              <w:ind w:left="714" w:hanging="357"/>
            </w:pPr>
            <w:proofErr w:type="spellStart"/>
            <w:r w:rsidRPr="0065690F">
              <w:rPr>
                <w:i/>
                <w:iCs/>
              </w:rPr>
              <w:t>Agrilus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mali</w:t>
            </w:r>
            <w:proofErr w:type="spellEnd"/>
            <w:r w:rsidR="00556DF7">
              <w:t>;</w:t>
            </w:r>
          </w:p>
          <w:p w14:paraId="4BB424A2" w14:textId="0201B4CE" w:rsidR="00B970B6" w:rsidRPr="0065690F" w:rsidRDefault="00DC0D96" w:rsidP="008D5B87">
            <w:pPr>
              <w:numPr>
                <w:ilvl w:val="0"/>
                <w:numId w:val="21"/>
              </w:numPr>
              <w:tabs>
                <w:tab w:val="left" w:pos="722"/>
              </w:tabs>
              <w:ind w:left="714" w:hanging="357"/>
            </w:pPr>
            <w:proofErr w:type="spellStart"/>
            <w:r w:rsidRPr="0065690F">
              <w:rPr>
                <w:i/>
                <w:iCs/>
              </w:rPr>
              <w:t>Lonsdalea</w:t>
            </w:r>
            <w:proofErr w:type="spellEnd"/>
            <w:r w:rsidRPr="0065690F">
              <w:rPr>
                <w:i/>
                <w:iCs/>
              </w:rPr>
              <w:t xml:space="preserve"> populi</w:t>
            </w:r>
            <w:r w:rsidR="00556DF7">
              <w:t>;</w:t>
            </w:r>
          </w:p>
          <w:p w14:paraId="58EE3032" w14:textId="6579008E" w:rsidR="00B970B6" w:rsidRPr="0065690F" w:rsidRDefault="00DC0D96" w:rsidP="008D5B87">
            <w:pPr>
              <w:numPr>
                <w:ilvl w:val="0"/>
                <w:numId w:val="21"/>
              </w:numPr>
              <w:tabs>
                <w:tab w:val="left" w:pos="722"/>
              </w:tabs>
              <w:spacing w:after="120"/>
              <w:ind w:left="714" w:hanging="357"/>
            </w:pPr>
            <w:proofErr w:type="spellStart"/>
            <w:r w:rsidRPr="0065690F">
              <w:rPr>
                <w:i/>
                <w:iCs/>
              </w:rPr>
              <w:t>Orgyia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leucostigma</w:t>
            </w:r>
            <w:proofErr w:type="spellEnd"/>
            <w:r w:rsidR="00556DF7">
              <w:rPr>
                <w:i/>
                <w:iCs/>
              </w:rPr>
              <w:t>.</w:t>
            </w:r>
          </w:p>
          <w:p w14:paraId="44BBC3BB" w14:textId="64D0A761" w:rsidR="00B970B6" w:rsidRPr="0065690F" w:rsidRDefault="00DC0D96" w:rsidP="00556DF7">
            <w:pPr>
              <w:numPr>
                <w:ilvl w:val="0"/>
                <w:numId w:val="19"/>
              </w:numPr>
              <w:spacing w:before="240"/>
              <w:ind w:left="340" w:hanging="306"/>
            </w:pPr>
            <w:r w:rsidRPr="0065690F">
              <w:lastRenderedPageBreak/>
              <w:t xml:space="preserve">The addition of </w:t>
            </w:r>
            <w:r w:rsidRPr="008D5B87">
              <w:rPr>
                <w:i/>
                <w:iCs/>
              </w:rPr>
              <w:t xml:space="preserve">Solanum </w:t>
            </w:r>
            <w:proofErr w:type="spellStart"/>
            <w:r w:rsidRPr="008D5B87">
              <w:rPr>
                <w:i/>
                <w:iCs/>
              </w:rPr>
              <w:t>sisymbriifolium</w:t>
            </w:r>
            <w:proofErr w:type="spellEnd"/>
            <w:r w:rsidRPr="008D5B87">
              <w:rPr>
                <w:i/>
                <w:iCs/>
              </w:rPr>
              <w:t xml:space="preserve"> </w:t>
            </w:r>
            <w:r w:rsidRPr="0065690F">
              <w:t>seed as a new known host to the existing Regulated Non-Quarantine Pest (</w:t>
            </w:r>
            <w:proofErr w:type="spellStart"/>
            <w:r w:rsidRPr="0065690F">
              <w:t>RNQP</w:t>
            </w:r>
            <w:proofErr w:type="spellEnd"/>
            <w:r w:rsidRPr="0065690F">
              <w:t>) Potato spindle tuber viroid (</w:t>
            </w:r>
            <w:proofErr w:type="spellStart"/>
            <w:r w:rsidRPr="0065690F">
              <w:t>PSTVd</w:t>
            </w:r>
            <w:proofErr w:type="spellEnd"/>
            <w:r w:rsidRPr="0065690F">
              <w:t xml:space="preserve">), as the pest-host combination has been assessed as meeting the criteria of a </w:t>
            </w:r>
            <w:proofErr w:type="spellStart"/>
            <w:r w:rsidRPr="0065690F">
              <w:t>RNQP</w:t>
            </w:r>
            <w:proofErr w:type="spellEnd"/>
            <w:r w:rsidRPr="0065690F">
              <w:t>.</w:t>
            </w:r>
          </w:p>
          <w:p w14:paraId="7250C767" w14:textId="6EF0AA73" w:rsidR="00B970B6" w:rsidRPr="0065690F" w:rsidRDefault="00DC0D96" w:rsidP="00556DF7">
            <w:pPr>
              <w:numPr>
                <w:ilvl w:val="0"/>
                <w:numId w:val="19"/>
              </w:numPr>
              <w:spacing w:after="120"/>
              <w:ind w:left="340" w:hanging="306"/>
            </w:pPr>
            <w:r w:rsidRPr="0065690F">
              <w:t>Providing a specific import requirement for the introduction of spruce (</w:t>
            </w:r>
            <w:proofErr w:type="spellStart"/>
            <w:r w:rsidRPr="00556DF7">
              <w:rPr>
                <w:i/>
                <w:iCs/>
              </w:rPr>
              <w:t>Picea</w:t>
            </w:r>
            <w:proofErr w:type="spellEnd"/>
            <w:r w:rsidRPr="0065690F">
              <w:t xml:space="preserve"> spp.) Christmas trees, not intended to be placed on the market, from Norway for short term display only.</w:t>
            </w:r>
            <w:bookmarkEnd w:id="23"/>
          </w:p>
        </w:tc>
      </w:tr>
      <w:tr w:rsidR="00F13019" w14:paraId="78FDF4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E1011" w14:textId="77777777" w:rsidR="00EA4725" w:rsidRPr="00441372" w:rsidRDefault="00DC0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B0A7B" w14:textId="77777777" w:rsidR="00EA4725" w:rsidRPr="00441372" w:rsidRDefault="00DC0D9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13019" w14:paraId="4B2A24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0978A" w14:textId="77777777" w:rsidR="00EA4725" w:rsidRPr="00441372" w:rsidRDefault="00DC0D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263DF" w14:textId="77777777" w:rsidR="00EA4725" w:rsidRPr="00441372" w:rsidRDefault="00DC0D9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38E3A93" w14:textId="77777777" w:rsidR="00EA4725" w:rsidRPr="00441372" w:rsidRDefault="00DC0D9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26A0E12" w14:textId="77777777" w:rsidR="00EA4725" w:rsidRPr="00441372" w:rsidRDefault="00DC0D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6AF977D" w14:textId="77777777" w:rsidR="008D5B87" w:rsidRDefault="00DC0D96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</w:p>
          <w:p w14:paraId="09AA74E6" w14:textId="5031845C" w:rsidR="00EA4725" w:rsidRPr="00441372" w:rsidRDefault="00DC0D96" w:rsidP="008D5B87">
            <w:pPr>
              <w:numPr>
                <w:ilvl w:val="0"/>
                <w:numId w:val="22"/>
              </w:numPr>
              <w:ind w:left="1086"/>
              <w:rPr>
                <w:b/>
              </w:rPr>
            </w:pPr>
            <w:proofErr w:type="spellStart"/>
            <w:r w:rsidRPr="0065690F">
              <w:t>ISPM</w:t>
            </w:r>
            <w:proofErr w:type="spellEnd"/>
            <w:r w:rsidRPr="0065690F">
              <w:t xml:space="preserve"> 02 - Framework for pest risk analysis </w:t>
            </w:r>
          </w:p>
          <w:p w14:paraId="6B536369" w14:textId="54E4DA37" w:rsidR="00B970B6" w:rsidRPr="0065690F" w:rsidRDefault="00DC0D96" w:rsidP="008D5B87">
            <w:pPr>
              <w:numPr>
                <w:ilvl w:val="0"/>
                <w:numId w:val="22"/>
              </w:numPr>
              <w:ind w:left="1086"/>
            </w:pPr>
            <w:proofErr w:type="spellStart"/>
            <w:r w:rsidRPr="0065690F">
              <w:t>ISPM</w:t>
            </w:r>
            <w:proofErr w:type="spellEnd"/>
            <w:r w:rsidRPr="0065690F">
              <w:t xml:space="preserve"> 11 - Pest risk analysis for quarantine pests</w:t>
            </w:r>
          </w:p>
          <w:p w14:paraId="79199466" w14:textId="43930AE0" w:rsidR="00B970B6" w:rsidRPr="0065690F" w:rsidRDefault="00DC0D96" w:rsidP="008D5B87">
            <w:pPr>
              <w:numPr>
                <w:ilvl w:val="0"/>
                <w:numId w:val="22"/>
              </w:numPr>
              <w:ind w:left="1086"/>
            </w:pPr>
            <w:proofErr w:type="spellStart"/>
            <w:r w:rsidRPr="0065690F">
              <w:t>ISPM</w:t>
            </w:r>
            <w:proofErr w:type="spellEnd"/>
            <w:r w:rsidRPr="0065690F">
              <w:t xml:space="preserve"> 16 - Regulated non-quarantine pests: concept and application</w:t>
            </w:r>
          </w:p>
          <w:p w14:paraId="655F0490" w14:textId="0E0D0364" w:rsidR="00B970B6" w:rsidRPr="0065690F" w:rsidRDefault="00DC0D96" w:rsidP="008D5B87">
            <w:pPr>
              <w:numPr>
                <w:ilvl w:val="0"/>
                <w:numId w:val="22"/>
              </w:numPr>
              <w:ind w:left="1086"/>
            </w:pPr>
            <w:proofErr w:type="spellStart"/>
            <w:r w:rsidRPr="0065690F">
              <w:t>ISPM</w:t>
            </w:r>
            <w:proofErr w:type="spellEnd"/>
            <w:r w:rsidRPr="0065690F">
              <w:t xml:space="preserve"> 20 - Guidelines for a phytosanitary import regulatory system</w:t>
            </w:r>
          </w:p>
          <w:p w14:paraId="093EFDBB" w14:textId="78EE6305" w:rsidR="00B970B6" w:rsidRPr="0065690F" w:rsidRDefault="00DC0D96" w:rsidP="008D5B87">
            <w:pPr>
              <w:numPr>
                <w:ilvl w:val="0"/>
                <w:numId w:val="22"/>
              </w:numPr>
              <w:spacing w:after="120"/>
              <w:ind w:left="1086"/>
            </w:pPr>
            <w:proofErr w:type="spellStart"/>
            <w:r w:rsidRPr="0065690F">
              <w:t>ISPM</w:t>
            </w:r>
            <w:proofErr w:type="spellEnd"/>
            <w:r w:rsidRPr="0065690F">
              <w:t xml:space="preserve"> 21 - Pest risk analysis for regulated non quarantine pests</w:t>
            </w:r>
            <w:bookmarkEnd w:id="45"/>
          </w:p>
          <w:p w14:paraId="5098943F" w14:textId="77777777" w:rsidR="00EA4725" w:rsidRPr="00441372" w:rsidRDefault="00DC0D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87C2043" w14:textId="77777777" w:rsidR="00EA4725" w:rsidRPr="00441372" w:rsidRDefault="00DC0D9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CEE68FB" w14:textId="77777777" w:rsidR="00EA4725" w:rsidRPr="00441372" w:rsidRDefault="00DC0D9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13E3955" w14:textId="77777777" w:rsidR="00EA4725" w:rsidRPr="00441372" w:rsidRDefault="00DC0D9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13019" w14:paraId="001221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E06E6" w14:textId="77777777" w:rsidR="00EA4725" w:rsidRPr="00441372" w:rsidRDefault="00DC0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908C4" w14:textId="41A791D1" w:rsidR="00B970B6" w:rsidRPr="0065690F" w:rsidRDefault="00DC0D96" w:rsidP="008D5B87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b"/>
            <w:bookmarkEnd w:id="56"/>
          </w:p>
        </w:tc>
      </w:tr>
      <w:tr w:rsidR="00F13019" w14:paraId="7AE1F6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CF31D" w14:textId="77777777" w:rsidR="00EA4725" w:rsidRPr="00441372" w:rsidRDefault="00DC0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79433" w14:textId="77777777" w:rsidR="00EA4725" w:rsidRPr="00441372" w:rsidRDefault="00DC0D96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9 May 2024</w:t>
            </w:r>
            <w:bookmarkEnd w:id="58"/>
          </w:p>
          <w:p w14:paraId="67FD48E2" w14:textId="77777777" w:rsidR="00EA4725" w:rsidRPr="00441372" w:rsidRDefault="00DC0D96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9 May 2024</w:t>
            </w:r>
            <w:bookmarkEnd w:id="60"/>
          </w:p>
        </w:tc>
      </w:tr>
      <w:tr w:rsidR="00F13019" w14:paraId="34342B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D0B2A" w14:textId="77777777" w:rsidR="00EA4725" w:rsidRPr="00441372" w:rsidRDefault="00DC0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23913" w14:textId="77777777" w:rsidR="00EA4725" w:rsidRPr="00441372" w:rsidRDefault="00DC0D9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31 May 2024</w:t>
            </w:r>
            <w:bookmarkEnd w:id="64"/>
          </w:p>
          <w:p w14:paraId="7734808A" w14:textId="77777777" w:rsidR="00EA4725" w:rsidRPr="00441372" w:rsidRDefault="00DC0D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13019" w14:paraId="2DD1CF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3F0AE" w14:textId="77777777" w:rsidR="00EA4725" w:rsidRPr="00441372" w:rsidRDefault="00DC0D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51915" w14:textId="77777777" w:rsidR="00EA4725" w:rsidRPr="00441372" w:rsidRDefault="00DC0D9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19 February 2024</w:t>
            </w:r>
            <w:bookmarkEnd w:id="71"/>
          </w:p>
          <w:p w14:paraId="356FF440" w14:textId="77777777" w:rsidR="00EA4725" w:rsidRPr="00441372" w:rsidRDefault="00DC0D9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38B70ECC" w14:textId="77777777" w:rsidR="00B970B6" w:rsidRPr="0065690F" w:rsidRDefault="00DC0D96" w:rsidP="00441372">
            <w:r w:rsidRPr="0065690F">
              <w:t>UK WTO SPS National Notification Authority and Enquiry Point</w:t>
            </w:r>
          </w:p>
          <w:p w14:paraId="61BF756F" w14:textId="77777777" w:rsidR="00B970B6" w:rsidRPr="0065690F" w:rsidRDefault="00DC0D96" w:rsidP="00441372">
            <w:r w:rsidRPr="0065690F">
              <w:t>WTO Policy Team</w:t>
            </w:r>
          </w:p>
          <w:p w14:paraId="09090E8D" w14:textId="77777777" w:rsidR="00B970B6" w:rsidRPr="0065690F" w:rsidRDefault="00DC0D96" w:rsidP="00441372">
            <w:r w:rsidRPr="0065690F">
              <w:t>EU and International Trade Directorate</w:t>
            </w:r>
          </w:p>
          <w:p w14:paraId="3B7FE7ED" w14:textId="77777777" w:rsidR="00B970B6" w:rsidRPr="0065690F" w:rsidRDefault="00DC0D96" w:rsidP="00441372">
            <w:r w:rsidRPr="0065690F">
              <w:t>Department for Environment, Food and Rural Affairs</w:t>
            </w:r>
          </w:p>
          <w:p w14:paraId="34F14B7C" w14:textId="77777777" w:rsidR="00B970B6" w:rsidRPr="0065690F" w:rsidRDefault="00DC0D96" w:rsidP="00441372">
            <w:r w:rsidRPr="0065690F">
              <w:t>2 Marsham St, London SW1P 4DF</w:t>
            </w:r>
          </w:p>
          <w:p w14:paraId="27E9AC77" w14:textId="4C45CE8A" w:rsidR="00B970B6" w:rsidRPr="0065690F" w:rsidRDefault="00DC0D96" w:rsidP="00441372">
            <w:r w:rsidRPr="0065690F">
              <w:t>E</w:t>
            </w:r>
            <w:r w:rsidR="008D5B87">
              <w:t>-</w:t>
            </w:r>
            <w:r w:rsidRPr="0065690F">
              <w:t xml:space="preserve">mail: </w:t>
            </w:r>
            <w:hyperlink r:id="rId8" w:history="1">
              <w:r w:rsidRPr="0065690F">
                <w:rPr>
                  <w:color w:val="0000FF"/>
                  <w:u w:val="single"/>
                </w:rPr>
                <w:t>uksps@defra.gov.uk</w:t>
              </w:r>
            </w:hyperlink>
          </w:p>
          <w:p w14:paraId="4A8A1198" w14:textId="236FF4FC" w:rsidR="00B970B6" w:rsidRPr="0065690F" w:rsidRDefault="00DC0D96" w:rsidP="00441372">
            <w:pPr>
              <w:spacing w:after="120"/>
            </w:pPr>
            <w:r w:rsidRPr="0065690F">
              <w:t>Website:</w:t>
            </w:r>
            <w:r w:rsidR="008D5B87">
              <w:t> 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https://www.gov.uk/government/organisations/department-for-environment-food-rural-affairs</w:t>
              </w:r>
            </w:hyperlink>
            <w:bookmarkEnd w:id="78"/>
          </w:p>
        </w:tc>
      </w:tr>
      <w:tr w:rsidR="00F13019" w14:paraId="167596D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506052E" w14:textId="77777777" w:rsidR="00EA4725" w:rsidRPr="00441372" w:rsidRDefault="00DC0D9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3019E03" w14:textId="77777777" w:rsidR="00EA4725" w:rsidRPr="00441372" w:rsidRDefault="00DC0D9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76AED521" w14:textId="77777777" w:rsidR="00EA4725" w:rsidRPr="0065690F" w:rsidRDefault="00DC0D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UK WTO SPS National Notification Authority and Enquiry Point</w:t>
            </w:r>
          </w:p>
          <w:p w14:paraId="2C334315" w14:textId="77777777" w:rsidR="00EA4725" w:rsidRPr="0065690F" w:rsidRDefault="00DC0D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 Policy Team</w:t>
            </w:r>
          </w:p>
          <w:p w14:paraId="45A14C47" w14:textId="77777777" w:rsidR="00EA4725" w:rsidRPr="0065690F" w:rsidRDefault="00DC0D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 and International Trade Directorate</w:t>
            </w:r>
          </w:p>
          <w:p w14:paraId="57F81CDA" w14:textId="77777777" w:rsidR="00EA4725" w:rsidRPr="0065690F" w:rsidRDefault="00DC0D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Environment, Food and Rural Affairs</w:t>
            </w:r>
          </w:p>
          <w:p w14:paraId="6477C7F6" w14:textId="77777777" w:rsidR="00EA4725" w:rsidRPr="0065690F" w:rsidRDefault="00DC0D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2 Marsham St, London SW1P 4DF</w:t>
            </w:r>
          </w:p>
          <w:p w14:paraId="623F105E" w14:textId="6186E16D" w:rsidR="00EA4725" w:rsidRPr="0065690F" w:rsidRDefault="00DC0D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</w:t>
            </w:r>
            <w:r w:rsidR="008D5B87">
              <w:rPr>
                <w:bCs/>
              </w:rPr>
              <w:t>-</w:t>
            </w:r>
            <w:r w:rsidRPr="0065690F">
              <w:rPr>
                <w:bCs/>
              </w:rPr>
              <w:t xml:space="preserve">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uksps@defra.gov.uk</w:t>
              </w:r>
            </w:hyperlink>
          </w:p>
          <w:p w14:paraId="2863C47C" w14:textId="3362FB53" w:rsidR="00EA4725" w:rsidRPr="0065690F" w:rsidRDefault="00DC0D9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8D5B87">
              <w:rPr>
                <w:bCs/>
              </w:rPr>
              <w:t> </w:t>
            </w:r>
            <w:hyperlink r:id="rId11" w:history="1">
              <w:r w:rsidR="008D5B87" w:rsidRPr="00331096">
                <w:rPr>
                  <w:rStyle w:val="Hyperlink"/>
                  <w:bCs/>
                </w:rPr>
                <w:t>https://www.gov.uk/government/organisations/department-for-environment-food-rural-affairs</w:t>
              </w:r>
            </w:hyperlink>
            <w:bookmarkEnd w:id="85"/>
          </w:p>
        </w:tc>
      </w:tr>
    </w:tbl>
    <w:p w14:paraId="3827E4F5" w14:textId="77777777" w:rsidR="007141CF" w:rsidRPr="00441372" w:rsidRDefault="007141CF" w:rsidP="00441372"/>
    <w:sectPr w:rsidR="007141CF" w:rsidRPr="00441372" w:rsidSect="00556D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D538" w14:textId="77777777" w:rsidR="00C513E7" w:rsidRDefault="00DC0D96">
      <w:r>
        <w:separator/>
      </w:r>
    </w:p>
  </w:endnote>
  <w:endnote w:type="continuationSeparator" w:id="0">
    <w:p w14:paraId="4948EF13" w14:textId="77777777" w:rsidR="00C513E7" w:rsidRDefault="00DC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71A2" w14:textId="02B4E532" w:rsidR="00EA4725" w:rsidRPr="00556DF7" w:rsidRDefault="00DC0D96" w:rsidP="00556DF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FDA6" w14:textId="7520FF1A" w:rsidR="00EA4725" w:rsidRPr="00556DF7" w:rsidRDefault="00DC0D96" w:rsidP="00556DF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ECFB" w14:textId="77777777" w:rsidR="00C863EB" w:rsidRPr="00441372" w:rsidRDefault="00DC0D9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B77A" w14:textId="77777777" w:rsidR="00C513E7" w:rsidRDefault="00DC0D96">
      <w:r>
        <w:separator/>
      </w:r>
    </w:p>
  </w:footnote>
  <w:footnote w:type="continuationSeparator" w:id="0">
    <w:p w14:paraId="47F4F027" w14:textId="77777777" w:rsidR="00C513E7" w:rsidRDefault="00DC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EA74" w14:textId="77777777" w:rsidR="00556DF7" w:rsidRPr="00556DF7" w:rsidRDefault="00DC0D96" w:rsidP="00556D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6DF7">
      <w:t>G/SPS/N/</w:t>
    </w:r>
    <w:proofErr w:type="spellStart"/>
    <w:r w:rsidRPr="00556DF7">
      <w:t>GBR</w:t>
    </w:r>
    <w:proofErr w:type="spellEnd"/>
    <w:r w:rsidRPr="00556DF7">
      <w:t>/50</w:t>
    </w:r>
  </w:p>
  <w:p w14:paraId="70D6FC53" w14:textId="77777777" w:rsidR="00556DF7" w:rsidRPr="00556DF7" w:rsidRDefault="00556DF7" w:rsidP="00556D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E5064C" w14:textId="5DA728D9" w:rsidR="00556DF7" w:rsidRPr="00556DF7" w:rsidRDefault="00DC0D96" w:rsidP="00556D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6DF7">
      <w:t xml:space="preserve">- </w:t>
    </w:r>
    <w:r w:rsidRPr="00556DF7">
      <w:fldChar w:fldCharType="begin"/>
    </w:r>
    <w:r w:rsidRPr="00556DF7">
      <w:instrText xml:space="preserve"> PAGE </w:instrText>
    </w:r>
    <w:r w:rsidRPr="00556DF7">
      <w:fldChar w:fldCharType="separate"/>
    </w:r>
    <w:r w:rsidRPr="00556DF7">
      <w:rPr>
        <w:noProof/>
      </w:rPr>
      <w:t>2</w:t>
    </w:r>
    <w:r w:rsidRPr="00556DF7">
      <w:fldChar w:fldCharType="end"/>
    </w:r>
    <w:r w:rsidRPr="00556DF7">
      <w:t xml:space="preserve"> -</w:t>
    </w:r>
  </w:p>
  <w:p w14:paraId="24CF9CA5" w14:textId="78FD424A" w:rsidR="00EA4725" w:rsidRPr="00556DF7" w:rsidRDefault="00EA4725" w:rsidP="00556D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95B7" w14:textId="77777777" w:rsidR="00556DF7" w:rsidRPr="00556DF7" w:rsidRDefault="00DC0D96" w:rsidP="00556D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6DF7">
      <w:t>G/SPS/N/</w:t>
    </w:r>
    <w:proofErr w:type="spellStart"/>
    <w:r w:rsidRPr="00556DF7">
      <w:t>GBR</w:t>
    </w:r>
    <w:proofErr w:type="spellEnd"/>
    <w:r w:rsidRPr="00556DF7">
      <w:t>/50</w:t>
    </w:r>
  </w:p>
  <w:p w14:paraId="0C782A59" w14:textId="77777777" w:rsidR="00556DF7" w:rsidRPr="00556DF7" w:rsidRDefault="00556DF7" w:rsidP="00556D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8F171A" w14:textId="4BA177A7" w:rsidR="00556DF7" w:rsidRPr="00556DF7" w:rsidRDefault="00DC0D96" w:rsidP="00556D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6DF7">
      <w:t xml:space="preserve">- </w:t>
    </w:r>
    <w:r w:rsidRPr="00556DF7">
      <w:fldChar w:fldCharType="begin"/>
    </w:r>
    <w:r w:rsidRPr="00556DF7">
      <w:instrText xml:space="preserve"> PAGE </w:instrText>
    </w:r>
    <w:r w:rsidRPr="00556DF7">
      <w:fldChar w:fldCharType="separate"/>
    </w:r>
    <w:r w:rsidRPr="00556DF7">
      <w:rPr>
        <w:noProof/>
      </w:rPr>
      <w:t>2</w:t>
    </w:r>
    <w:r w:rsidRPr="00556DF7">
      <w:fldChar w:fldCharType="end"/>
    </w:r>
    <w:r w:rsidRPr="00556DF7">
      <w:t xml:space="preserve"> -</w:t>
    </w:r>
  </w:p>
  <w:p w14:paraId="387D7705" w14:textId="70C9675C" w:rsidR="00EA4725" w:rsidRPr="00556DF7" w:rsidRDefault="00EA4725" w:rsidP="00556D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13019" w14:paraId="76DDA10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A5B43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FE610A" w14:textId="68642C65" w:rsidR="00ED54E0" w:rsidRPr="00EA4725" w:rsidRDefault="00DC0D9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13019" w14:paraId="48D5C06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F77BF65" w14:textId="77777777" w:rsidR="00ED54E0" w:rsidRPr="00EA4725" w:rsidRDefault="008C7990" w:rsidP="00422B6F">
          <w:pPr>
            <w:jc w:val="left"/>
          </w:pPr>
          <w:r>
            <w:rPr>
              <w:lang w:eastAsia="en-GB"/>
            </w:rPr>
            <w:pict w14:anchorId="7D5EAF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F6598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13019" w14:paraId="39155D6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43DF6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B87619" w14:textId="77777777" w:rsidR="00556DF7" w:rsidRDefault="00DC0D9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GBR</w:t>
          </w:r>
          <w:proofErr w:type="spellEnd"/>
          <w:r>
            <w:rPr>
              <w:b/>
              <w:szCs w:val="16"/>
            </w:rPr>
            <w:t>/50</w:t>
          </w:r>
          <w:bookmarkEnd w:id="87"/>
        </w:p>
      </w:tc>
    </w:tr>
    <w:tr w:rsidR="00F13019" w14:paraId="79D7C92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ACD02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BAF1B7" w14:textId="77777777" w:rsidR="00ED54E0" w:rsidRPr="00EA4725" w:rsidRDefault="00DC0D96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21 December 2023</w:t>
          </w:r>
          <w:bookmarkEnd w:id="89"/>
        </w:p>
      </w:tc>
    </w:tr>
    <w:tr w:rsidR="00F13019" w14:paraId="188D905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4BD40C" w14:textId="5421704F" w:rsidR="00ED54E0" w:rsidRPr="00EA4725" w:rsidRDefault="00DC0D9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23-</w:t>
          </w:r>
          <w:r w:rsidR="008C7990">
            <w:rPr>
              <w:color w:val="FF0000"/>
              <w:szCs w:val="16"/>
            </w:rPr>
            <w:t>8778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12C148" w14:textId="77777777" w:rsidR="00ED54E0" w:rsidRPr="00EA4725" w:rsidRDefault="00DC0D96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F13019" w14:paraId="396EE4F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E83C3F" w14:textId="487FE7F5" w:rsidR="00ED54E0" w:rsidRPr="00EA4725" w:rsidRDefault="00DC0D96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5BE50D" w14:textId="6A360319" w:rsidR="00ED54E0" w:rsidRPr="00441372" w:rsidRDefault="00DC0D96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6E53796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321D0"/>
    <w:multiLevelType w:val="hybridMultilevel"/>
    <w:tmpl w:val="D730D510"/>
    <w:lvl w:ilvl="0" w:tplc="B0CE73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8DCD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A1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64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23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E36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63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E2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22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947D0"/>
    <w:multiLevelType w:val="hybridMultilevel"/>
    <w:tmpl w:val="6F8CB202"/>
    <w:lvl w:ilvl="0" w:tplc="B7908A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D86F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29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A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67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2A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66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2C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29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5086B"/>
    <w:multiLevelType w:val="hybridMultilevel"/>
    <w:tmpl w:val="594872BE"/>
    <w:lvl w:ilvl="0" w:tplc="5FB053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1C43610" w:tentative="1">
      <w:start w:val="1"/>
      <w:numFmt w:val="lowerLetter"/>
      <w:lvlText w:val="%2."/>
      <w:lvlJc w:val="left"/>
      <w:pPr>
        <w:ind w:left="1440" w:hanging="360"/>
      </w:pPr>
    </w:lvl>
    <w:lvl w:ilvl="2" w:tplc="929E4F30" w:tentative="1">
      <w:start w:val="1"/>
      <w:numFmt w:val="lowerRoman"/>
      <w:lvlText w:val="%3."/>
      <w:lvlJc w:val="right"/>
      <w:pPr>
        <w:ind w:left="2160" w:hanging="180"/>
      </w:pPr>
    </w:lvl>
    <w:lvl w:ilvl="3" w:tplc="6486FCFC" w:tentative="1">
      <w:start w:val="1"/>
      <w:numFmt w:val="decimal"/>
      <w:lvlText w:val="%4."/>
      <w:lvlJc w:val="left"/>
      <w:pPr>
        <w:ind w:left="2880" w:hanging="360"/>
      </w:pPr>
    </w:lvl>
    <w:lvl w:ilvl="4" w:tplc="FDEE4E50" w:tentative="1">
      <w:start w:val="1"/>
      <w:numFmt w:val="lowerLetter"/>
      <w:lvlText w:val="%5."/>
      <w:lvlJc w:val="left"/>
      <w:pPr>
        <w:ind w:left="3600" w:hanging="360"/>
      </w:pPr>
    </w:lvl>
    <w:lvl w:ilvl="5" w:tplc="E572C374" w:tentative="1">
      <w:start w:val="1"/>
      <w:numFmt w:val="lowerRoman"/>
      <w:lvlText w:val="%6."/>
      <w:lvlJc w:val="right"/>
      <w:pPr>
        <w:ind w:left="4320" w:hanging="180"/>
      </w:pPr>
    </w:lvl>
    <w:lvl w:ilvl="6" w:tplc="E6F02F00" w:tentative="1">
      <w:start w:val="1"/>
      <w:numFmt w:val="decimal"/>
      <w:lvlText w:val="%7."/>
      <w:lvlJc w:val="left"/>
      <w:pPr>
        <w:ind w:left="5040" w:hanging="360"/>
      </w:pPr>
    </w:lvl>
    <w:lvl w:ilvl="7" w:tplc="723025BC" w:tentative="1">
      <w:start w:val="1"/>
      <w:numFmt w:val="lowerLetter"/>
      <w:lvlText w:val="%8."/>
      <w:lvlJc w:val="left"/>
      <w:pPr>
        <w:ind w:left="5760" w:hanging="360"/>
      </w:pPr>
    </w:lvl>
    <w:lvl w:ilvl="8" w:tplc="09D23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00871"/>
    <w:multiLevelType w:val="hybridMultilevel"/>
    <w:tmpl w:val="DDBCFD32"/>
    <w:lvl w:ilvl="0" w:tplc="0DEC6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EB4C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0291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DE4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6648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0C64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2AA9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C4D7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222B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56FC71F6"/>
    <w:numStyleLink w:val="LegalHeadings"/>
  </w:abstractNum>
  <w:abstractNum w:abstractNumId="16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6F9E69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C7A7696" w:tentative="1">
      <w:start w:val="1"/>
      <w:numFmt w:val="lowerLetter"/>
      <w:lvlText w:val="%2."/>
      <w:lvlJc w:val="left"/>
      <w:pPr>
        <w:ind w:left="1080" w:hanging="360"/>
      </w:pPr>
    </w:lvl>
    <w:lvl w:ilvl="2" w:tplc="C4A807EA" w:tentative="1">
      <w:start w:val="1"/>
      <w:numFmt w:val="lowerRoman"/>
      <w:lvlText w:val="%3."/>
      <w:lvlJc w:val="right"/>
      <w:pPr>
        <w:ind w:left="1800" w:hanging="180"/>
      </w:pPr>
    </w:lvl>
    <w:lvl w:ilvl="3" w:tplc="F3B870DC" w:tentative="1">
      <w:start w:val="1"/>
      <w:numFmt w:val="decimal"/>
      <w:lvlText w:val="%4."/>
      <w:lvlJc w:val="left"/>
      <w:pPr>
        <w:ind w:left="2520" w:hanging="360"/>
      </w:pPr>
    </w:lvl>
    <w:lvl w:ilvl="4" w:tplc="3A2408CC" w:tentative="1">
      <w:start w:val="1"/>
      <w:numFmt w:val="lowerLetter"/>
      <w:lvlText w:val="%5."/>
      <w:lvlJc w:val="left"/>
      <w:pPr>
        <w:ind w:left="3240" w:hanging="360"/>
      </w:pPr>
    </w:lvl>
    <w:lvl w:ilvl="5" w:tplc="F0BABBC4" w:tentative="1">
      <w:start w:val="1"/>
      <w:numFmt w:val="lowerRoman"/>
      <w:lvlText w:val="%6."/>
      <w:lvlJc w:val="right"/>
      <w:pPr>
        <w:ind w:left="3960" w:hanging="180"/>
      </w:pPr>
    </w:lvl>
    <w:lvl w:ilvl="6" w:tplc="CC2C6E7C" w:tentative="1">
      <w:start w:val="1"/>
      <w:numFmt w:val="decimal"/>
      <w:lvlText w:val="%7."/>
      <w:lvlJc w:val="left"/>
      <w:pPr>
        <w:ind w:left="4680" w:hanging="360"/>
      </w:pPr>
    </w:lvl>
    <w:lvl w:ilvl="7" w:tplc="1D7A3E86" w:tentative="1">
      <w:start w:val="1"/>
      <w:numFmt w:val="lowerLetter"/>
      <w:lvlText w:val="%8."/>
      <w:lvlJc w:val="left"/>
      <w:pPr>
        <w:ind w:left="5400" w:hanging="360"/>
      </w:pPr>
    </w:lvl>
    <w:lvl w:ilvl="8" w:tplc="E89C2C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6BB"/>
    <w:multiLevelType w:val="hybridMultilevel"/>
    <w:tmpl w:val="63D526BB"/>
    <w:lvl w:ilvl="0" w:tplc="645A62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D2A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AC22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241D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A251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927C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1C0F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CE13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8638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63D526BC"/>
    <w:multiLevelType w:val="hybridMultilevel"/>
    <w:tmpl w:val="63D526BC"/>
    <w:lvl w:ilvl="0" w:tplc="FE3E35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5C39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7807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8810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F0DB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94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D88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D468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88ED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3183EF9"/>
    <w:multiLevelType w:val="hybridMultilevel"/>
    <w:tmpl w:val="0A70C51A"/>
    <w:lvl w:ilvl="0" w:tplc="7BD2847C">
      <w:start w:val="1"/>
      <w:numFmt w:val="upperLetter"/>
      <w:lvlText w:val="%1."/>
      <w:lvlJc w:val="left"/>
      <w:pPr>
        <w:ind w:left="720" w:hanging="360"/>
      </w:pPr>
    </w:lvl>
    <w:lvl w:ilvl="1" w:tplc="F24290A8" w:tentative="1">
      <w:start w:val="1"/>
      <w:numFmt w:val="lowerLetter"/>
      <w:lvlText w:val="%2."/>
      <w:lvlJc w:val="left"/>
      <w:pPr>
        <w:ind w:left="1440" w:hanging="360"/>
      </w:pPr>
    </w:lvl>
    <w:lvl w:ilvl="2" w:tplc="F56A9176" w:tentative="1">
      <w:start w:val="1"/>
      <w:numFmt w:val="lowerRoman"/>
      <w:lvlText w:val="%3."/>
      <w:lvlJc w:val="right"/>
      <w:pPr>
        <w:ind w:left="2160" w:hanging="180"/>
      </w:pPr>
    </w:lvl>
    <w:lvl w:ilvl="3" w:tplc="E43C72D0" w:tentative="1">
      <w:start w:val="1"/>
      <w:numFmt w:val="decimal"/>
      <w:lvlText w:val="%4."/>
      <w:lvlJc w:val="left"/>
      <w:pPr>
        <w:ind w:left="2880" w:hanging="360"/>
      </w:pPr>
    </w:lvl>
    <w:lvl w:ilvl="4" w:tplc="F042A3C6" w:tentative="1">
      <w:start w:val="1"/>
      <w:numFmt w:val="lowerLetter"/>
      <w:lvlText w:val="%5."/>
      <w:lvlJc w:val="left"/>
      <w:pPr>
        <w:ind w:left="3600" w:hanging="360"/>
      </w:pPr>
    </w:lvl>
    <w:lvl w:ilvl="5" w:tplc="8EA25B1E" w:tentative="1">
      <w:start w:val="1"/>
      <w:numFmt w:val="lowerRoman"/>
      <w:lvlText w:val="%6."/>
      <w:lvlJc w:val="right"/>
      <w:pPr>
        <w:ind w:left="4320" w:hanging="180"/>
      </w:pPr>
    </w:lvl>
    <w:lvl w:ilvl="6" w:tplc="F0A456E0" w:tentative="1">
      <w:start w:val="1"/>
      <w:numFmt w:val="decimal"/>
      <w:lvlText w:val="%7."/>
      <w:lvlJc w:val="left"/>
      <w:pPr>
        <w:ind w:left="5040" w:hanging="360"/>
      </w:pPr>
    </w:lvl>
    <w:lvl w:ilvl="7" w:tplc="4CC0E384" w:tentative="1">
      <w:start w:val="1"/>
      <w:numFmt w:val="lowerLetter"/>
      <w:lvlText w:val="%8."/>
      <w:lvlJc w:val="left"/>
      <w:pPr>
        <w:ind w:left="5760" w:hanging="360"/>
      </w:pPr>
    </w:lvl>
    <w:lvl w:ilvl="8" w:tplc="CDB0808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85202">
    <w:abstractNumId w:val="9"/>
  </w:num>
  <w:num w:numId="2" w16cid:durableId="596059615">
    <w:abstractNumId w:val="7"/>
  </w:num>
  <w:num w:numId="3" w16cid:durableId="2028830464">
    <w:abstractNumId w:val="6"/>
  </w:num>
  <w:num w:numId="4" w16cid:durableId="504978483">
    <w:abstractNumId w:val="5"/>
  </w:num>
  <w:num w:numId="5" w16cid:durableId="1990939853">
    <w:abstractNumId w:val="4"/>
  </w:num>
  <w:num w:numId="6" w16cid:durableId="1123960342">
    <w:abstractNumId w:val="16"/>
  </w:num>
  <w:num w:numId="7" w16cid:durableId="743796206">
    <w:abstractNumId w:val="15"/>
  </w:num>
  <w:num w:numId="8" w16cid:durableId="229996999">
    <w:abstractNumId w:val="14"/>
  </w:num>
  <w:num w:numId="9" w16cid:durableId="5948731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2567676">
    <w:abstractNumId w:val="17"/>
  </w:num>
  <w:num w:numId="11" w16cid:durableId="1837845547">
    <w:abstractNumId w:val="8"/>
  </w:num>
  <w:num w:numId="12" w16cid:durableId="855852361">
    <w:abstractNumId w:val="3"/>
  </w:num>
  <w:num w:numId="13" w16cid:durableId="516579327">
    <w:abstractNumId w:val="2"/>
  </w:num>
  <w:num w:numId="14" w16cid:durableId="1821380144">
    <w:abstractNumId w:val="1"/>
  </w:num>
  <w:num w:numId="15" w16cid:durableId="1270427183">
    <w:abstractNumId w:val="0"/>
  </w:num>
  <w:num w:numId="16" w16cid:durableId="969823299">
    <w:abstractNumId w:val="18"/>
  </w:num>
  <w:num w:numId="17" w16cid:durableId="606356287">
    <w:abstractNumId w:val="19"/>
  </w:num>
  <w:num w:numId="18" w16cid:durableId="1123422243">
    <w:abstractNumId w:val="11"/>
  </w:num>
  <w:num w:numId="19" w16cid:durableId="59325728">
    <w:abstractNumId w:val="20"/>
  </w:num>
  <w:num w:numId="20" w16cid:durableId="293146975">
    <w:abstractNumId w:val="12"/>
  </w:num>
  <w:num w:numId="21" w16cid:durableId="1108499814">
    <w:abstractNumId w:val="13"/>
  </w:num>
  <w:num w:numId="22" w16cid:durableId="1971470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109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6DF7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0148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022E"/>
    <w:rsid w:val="00785406"/>
    <w:rsid w:val="007B5A4F"/>
    <w:rsid w:val="007B624B"/>
    <w:rsid w:val="007B635B"/>
    <w:rsid w:val="007E173F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7990"/>
    <w:rsid w:val="008D5B87"/>
    <w:rsid w:val="008E372C"/>
    <w:rsid w:val="00903AB0"/>
    <w:rsid w:val="0097729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970B6"/>
    <w:rsid w:val="00BB1F84"/>
    <w:rsid w:val="00BC035A"/>
    <w:rsid w:val="00BE5468"/>
    <w:rsid w:val="00C11EAC"/>
    <w:rsid w:val="00C305D7"/>
    <w:rsid w:val="00C30F2A"/>
    <w:rsid w:val="00C43456"/>
    <w:rsid w:val="00C43F16"/>
    <w:rsid w:val="00C513E7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3463"/>
    <w:rsid w:val="00DB122C"/>
    <w:rsid w:val="00DB5435"/>
    <w:rsid w:val="00DC0D96"/>
    <w:rsid w:val="00DD3BA1"/>
    <w:rsid w:val="00DD4ED5"/>
    <w:rsid w:val="00DE50DB"/>
    <w:rsid w:val="00DF6AE1"/>
    <w:rsid w:val="00E06B18"/>
    <w:rsid w:val="00E46FD5"/>
    <w:rsid w:val="00E544BB"/>
    <w:rsid w:val="00E56545"/>
    <w:rsid w:val="00E64A48"/>
    <w:rsid w:val="00E851F1"/>
    <w:rsid w:val="00EA4725"/>
    <w:rsid w:val="00EA5D4F"/>
    <w:rsid w:val="00EB6C56"/>
    <w:rsid w:val="00EC687E"/>
    <w:rsid w:val="00ED54E0"/>
    <w:rsid w:val="00EE3CAF"/>
    <w:rsid w:val="00EF2394"/>
    <w:rsid w:val="00F13019"/>
    <w:rsid w:val="00F16B5D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6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97729E"/>
    <w:rPr>
      <w:rFonts w:ascii="Verdana" w:hAnsi="Verdana"/>
      <w:sz w:val="1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8D5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ps@defra.gov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department-for-environment-food-rural-affai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ksps@defra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department-for-environment-food-rural-affair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1e7f692b-39ee-4ffe-a8db-d7c02b3ee3ae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6A05369-5FA4-4BEA-8949-69C6744C10B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824</Words>
  <Characters>4978</Characters>
  <Application>Microsoft Office Word</Application>
  <DocSecurity>0</DocSecurity>
  <Lines>118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2023-12-21T14:43:00Z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G/SPS/N/GBR/50</vt:lpwstr>
  </property>
  <property fmtid="{D5CDD505-2E9C-101B-9397-08002B2CF9AE}" pid="3" name="TitusGUID">
    <vt:lpwstr>1e7f692b-39ee-4ffe-a8db-d7c02b3ee3ae</vt:lpwstr>
  </property>
  <property fmtid="{D5CDD505-2E9C-101B-9397-08002B2CF9AE}" pid="4" name="WTOCLASSIFICATION">
    <vt:lpwstr>WTO OFFICIAL</vt:lpwstr>
  </property>
</Properties>
</file>