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D705" w14:textId="77777777" w:rsidR="00EA4725" w:rsidRPr="00441372" w:rsidRDefault="001C3C2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7000C" w14:paraId="318FA81E" w14:textId="77777777" w:rsidTr="00F3021D">
        <w:tc>
          <w:tcPr>
            <w:tcW w:w="707" w:type="dxa"/>
            <w:tcBorders>
              <w:bottom w:val="single" w:sz="6" w:space="0" w:color="auto"/>
            </w:tcBorders>
            <w:shd w:val="clear" w:color="auto" w:fill="auto"/>
          </w:tcPr>
          <w:p w14:paraId="0A39AAC5" w14:textId="77777777" w:rsidR="00EA4725" w:rsidRPr="00441372" w:rsidRDefault="001C3C2B" w:rsidP="00441372">
            <w:pPr>
              <w:spacing w:before="120" w:after="120"/>
              <w:jc w:val="left"/>
            </w:pPr>
            <w:r w:rsidRPr="00441372">
              <w:rPr>
                <w:b/>
              </w:rPr>
              <w:t>1.</w:t>
            </w:r>
          </w:p>
        </w:tc>
        <w:tc>
          <w:tcPr>
            <w:tcW w:w="8320" w:type="dxa"/>
            <w:tcBorders>
              <w:bottom w:val="single" w:sz="6" w:space="0" w:color="auto"/>
            </w:tcBorders>
            <w:shd w:val="clear" w:color="auto" w:fill="auto"/>
          </w:tcPr>
          <w:p w14:paraId="6158F3C6" w14:textId="77777777" w:rsidR="00EA4725" w:rsidRPr="00441372" w:rsidRDefault="001C3C2B" w:rsidP="00441372">
            <w:pPr>
              <w:spacing w:before="120" w:after="120"/>
            </w:pPr>
            <w:r w:rsidRPr="00441372">
              <w:rPr>
                <w:b/>
              </w:rPr>
              <w:t>Notifying Member:</w:t>
            </w:r>
            <w:r w:rsidRPr="0065690F">
              <w:t xml:space="preserve"> </w:t>
            </w:r>
            <w:r w:rsidRPr="0065690F">
              <w:rPr>
                <w:u w:val="single"/>
              </w:rPr>
              <w:t>CAMBODIA</w:t>
            </w:r>
          </w:p>
          <w:p w14:paraId="2C8CD337" w14:textId="77777777" w:rsidR="00EA4725" w:rsidRPr="00441372" w:rsidRDefault="001C3C2B" w:rsidP="00441372">
            <w:pPr>
              <w:spacing w:after="120"/>
            </w:pPr>
            <w:r w:rsidRPr="00441372">
              <w:rPr>
                <w:b/>
                <w:bCs/>
              </w:rPr>
              <w:t>If applicable, name of local government involved:</w:t>
            </w:r>
            <w:r w:rsidRPr="0065690F">
              <w:rPr>
                <w:bCs/>
              </w:rPr>
              <w:t xml:space="preserve"> </w:t>
            </w:r>
          </w:p>
        </w:tc>
      </w:tr>
      <w:tr w:rsidR="00C7000C" w14:paraId="52D3186A" w14:textId="77777777" w:rsidTr="00F3021D">
        <w:tc>
          <w:tcPr>
            <w:tcW w:w="707" w:type="dxa"/>
            <w:tcBorders>
              <w:top w:val="single" w:sz="6" w:space="0" w:color="auto"/>
              <w:bottom w:val="single" w:sz="6" w:space="0" w:color="auto"/>
            </w:tcBorders>
            <w:shd w:val="clear" w:color="auto" w:fill="auto"/>
          </w:tcPr>
          <w:p w14:paraId="6F315725" w14:textId="77777777" w:rsidR="00EA4725" w:rsidRPr="00441372" w:rsidRDefault="001C3C2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2E914E3" w14:textId="77777777" w:rsidR="00EA4725" w:rsidRPr="00441372" w:rsidRDefault="001C3C2B" w:rsidP="00441372">
            <w:pPr>
              <w:spacing w:before="120" w:after="120"/>
            </w:pPr>
            <w:r w:rsidRPr="00441372">
              <w:rPr>
                <w:b/>
              </w:rPr>
              <w:t>Agency responsible:</w:t>
            </w:r>
            <w:r w:rsidRPr="0065690F">
              <w:t xml:space="preserve"> Ministry of Commerce</w:t>
            </w:r>
          </w:p>
        </w:tc>
      </w:tr>
      <w:tr w:rsidR="00C7000C" w14:paraId="220A7C5C" w14:textId="77777777" w:rsidTr="00F3021D">
        <w:tc>
          <w:tcPr>
            <w:tcW w:w="707" w:type="dxa"/>
            <w:tcBorders>
              <w:top w:val="single" w:sz="6" w:space="0" w:color="auto"/>
              <w:bottom w:val="single" w:sz="6" w:space="0" w:color="auto"/>
            </w:tcBorders>
            <w:shd w:val="clear" w:color="auto" w:fill="auto"/>
          </w:tcPr>
          <w:p w14:paraId="075C6D15" w14:textId="77777777" w:rsidR="00EA4725" w:rsidRPr="00441372" w:rsidRDefault="001C3C2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D1788B" w14:textId="77777777" w:rsidR="00EA4725" w:rsidRPr="00441372" w:rsidRDefault="001C3C2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and drinks</w:t>
            </w:r>
          </w:p>
        </w:tc>
      </w:tr>
      <w:tr w:rsidR="00C7000C" w14:paraId="78FCAA2A" w14:textId="77777777" w:rsidTr="00F3021D">
        <w:tc>
          <w:tcPr>
            <w:tcW w:w="707" w:type="dxa"/>
            <w:tcBorders>
              <w:top w:val="single" w:sz="6" w:space="0" w:color="auto"/>
              <w:bottom w:val="single" w:sz="6" w:space="0" w:color="auto"/>
            </w:tcBorders>
            <w:shd w:val="clear" w:color="auto" w:fill="auto"/>
          </w:tcPr>
          <w:p w14:paraId="0751A5AD" w14:textId="77777777" w:rsidR="00EA4725" w:rsidRPr="00441372" w:rsidRDefault="001C3C2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4D7F90" w14:textId="77777777" w:rsidR="00EA4725" w:rsidRPr="00441372" w:rsidRDefault="001C3C2B" w:rsidP="00441372">
            <w:pPr>
              <w:spacing w:before="120" w:after="120"/>
              <w:rPr>
                <w:b/>
                <w:bCs/>
              </w:rPr>
            </w:pPr>
            <w:r w:rsidRPr="00441372">
              <w:rPr>
                <w:b/>
              </w:rPr>
              <w:t>Regions or countries likely to be affected, to the extent relevant or practicable</w:t>
            </w:r>
            <w:r w:rsidRPr="00441372">
              <w:rPr>
                <w:b/>
                <w:bCs/>
              </w:rPr>
              <w:t>:</w:t>
            </w:r>
          </w:p>
          <w:p w14:paraId="5223AD79" w14:textId="77777777" w:rsidR="00EA4725" w:rsidRPr="00441372" w:rsidRDefault="001C3C2B" w:rsidP="00441372">
            <w:pPr>
              <w:spacing w:after="120"/>
              <w:ind w:left="607" w:hanging="607"/>
              <w:rPr>
                <w:b/>
              </w:rPr>
            </w:pPr>
            <w:r w:rsidRPr="00441372">
              <w:rPr>
                <w:b/>
              </w:rPr>
              <w:t>[X]</w:t>
            </w:r>
            <w:r w:rsidRPr="00441372">
              <w:rPr>
                <w:b/>
              </w:rPr>
              <w:tab/>
              <w:t>All trading partners</w:t>
            </w:r>
            <w:r w:rsidRPr="0065690F">
              <w:t xml:space="preserve"> </w:t>
            </w:r>
          </w:p>
          <w:p w14:paraId="3DC2E5F5" w14:textId="77777777" w:rsidR="00EA4725" w:rsidRPr="00441372" w:rsidRDefault="001C3C2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C7000C" w14:paraId="4EE0D424" w14:textId="77777777" w:rsidTr="00F3021D">
        <w:tc>
          <w:tcPr>
            <w:tcW w:w="707" w:type="dxa"/>
            <w:tcBorders>
              <w:top w:val="single" w:sz="6" w:space="0" w:color="auto"/>
              <w:bottom w:val="single" w:sz="6" w:space="0" w:color="auto"/>
            </w:tcBorders>
            <w:shd w:val="clear" w:color="auto" w:fill="auto"/>
          </w:tcPr>
          <w:p w14:paraId="1018F603" w14:textId="77777777" w:rsidR="00EA4725" w:rsidRPr="00441372" w:rsidRDefault="001C3C2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68847C" w14:textId="3B0E5FBB" w:rsidR="005F2AF9" w:rsidRPr="0065690F" w:rsidRDefault="001C3C2B" w:rsidP="000263FA">
            <w:pPr>
              <w:spacing w:before="120" w:after="120"/>
            </w:pPr>
            <w:r w:rsidRPr="00441372">
              <w:rPr>
                <w:b/>
              </w:rPr>
              <w:t>Title of the notified document:</w:t>
            </w:r>
            <w:r w:rsidRPr="0065690F">
              <w:t xml:space="preserve"> Law on Food Safety</w:t>
            </w:r>
            <w:r w:rsidR="007E510C" w:rsidRPr="00441372">
              <w:t>.</w:t>
            </w:r>
            <w:r w:rsidRPr="00441372">
              <w:rPr>
                <w:b/>
              </w:rPr>
              <w:t xml:space="preserve"> Language(s):</w:t>
            </w:r>
            <w:r w:rsidRPr="0065690F">
              <w:t xml:space="preserve"> Khmer and English</w:t>
            </w:r>
            <w:r w:rsidR="007E510C" w:rsidRPr="00441372">
              <w:rPr>
                <w:bCs/>
              </w:rPr>
              <w:t>.</w:t>
            </w:r>
            <w:r w:rsidRPr="00441372">
              <w:t xml:space="preserve"> </w:t>
            </w:r>
            <w:r w:rsidRPr="00441372">
              <w:rPr>
                <w:b/>
              </w:rPr>
              <w:t>Number of pages:</w:t>
            </w:r>
            <w:r w:rsidRPr="0065690F">
              <w:t xml:space="preserve"> 16 (including annex)</w:t>
            </w:r>
          </w:p>
          <w:p w14:paraId="2DAF7339" w14:textId="77777777" w:rsidR="00EA4725" w:rsidRPr="00441372" w:rsidRDefault="009C01F6" w:rsidP="008604E7">
            <w:hyperlink r:id="rId8" w:tgtFrame="_blank" w:history="1">
              <w:r w:rsidR="000263FA" w:rsidRPr="00441372">
                <w:rPr>
                  <w:color w:val="0000FF"/>
                  <w:u w:val="single"/>
                </w:rPr>
                <w:t>https://www.ccfdg.gov.kh/laws-regulations/laws/</w:t>
              </w:r>
            </w:hyperlink>
            <w:r w:rsidR="000263FA" w:rsidRPr="00441372">
              <w:t xml:space="preserve"> (Khmer version)</w:t>
            </w:r>
          </w:p>
          <w:p w14:paraId="3EE41405" w14:textId="77777777" w:rsidR="00EA4725" w:rsidRPr="00441372" w:rsidRDefault="009C01F6" w:rsidP="00441372">
            <w:pPr>
              <w:spacing w:after="120"/>
            </w:pPr>
            <w:hyperlink r:id="rId9" w:tgtFrame="_blank" w:history="1">
              <w:r w:rsidR="000263FA" w:rsidRPr="00441372">
                <w:rPr>
                  <w:color w:val="0000FF"/>
                  <w:u w:val="single"/>
                </w:rPr>
                <w:t>https://www.ccfdg.gov.kh/en/pdf-view/?filename=https://www.ccfdg.gov.kh/wp-content/uploads/2024/06/Law-on-Food-Safety-English_08-06-22-.pdf</w:t>
              </w:r>
            </w:hyperlink>
            <w:r w:rsidR="000263FA" w:rsidRPr="00441372">
              <w:t xml:space="preserve"> (English version)</w:t>
            </w:r>
          </w:p>
        </w:tc>
      </w:tr>
      <w:tr w:rsidR="00C7000C" w14:paraId="0946996D" w14:textId="77777777" w:rsidTr="00F3021D">
        <w:tc>
          <w:tcPr>
            <w:tcW w:w="707" w:type="dxa"/>
            <w:tcBorders>
              <w:top w:val="single" w:sz="6" w:space="0" w:color="auto"/>
              <w:bottom w:val="single" w:sz="6" w:space="0" w:color="auto"/>
            </w:tcBorders>
            <w:shd w:val="clear" w:color="auto" w:fill="auto"/>
          </w:tcPr>
          <w:p w14:paraId="22373821" w14:textId="77777777" w:rsidR="00EA4725" w:rsidRPr="00441372" w:rsidRDefault="001C3C2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7115AB" w14:textId="77777777" w:rsidR="00EA4725" w:rsidRPr="00441372" w:rsidRDefault="001C3C2B" w:rsidP="00441372">
            <w:pPr>
              <w:spacing w:before="120" w:after="120"/>
            </w:pPr>
            <w:r w:rsidRPr="00441372">
              <w:rPr>
                <w:b/>
              </w:rPr>
              <w:t>Description of content:</w:t>
            </w:r>
            <w:r w:rsidRPr="0065690F">
              <w:t xml:space="preserve"> The Law on Food Safety promulgated on 8 June 2022 comprises 43 articles and 35 definitions, divided into 11 chapters. It aims to regulate frameworks and mechanisms for managing and ensuring safety, quality, hygiene and compliance of food in all stages of the food production chain in order to provide protection of health and safe food for consumers and ensuring fair practices in food trade.</w:t>
            </w:r>
          </w:p>
          <w:p w14:paraId="7C590620" w14:textId="77777777" w:rsidR="005F2AF9" w:rsidRPr="0065690F" w:rsidRDefault="001C3C2B" w:rsidP="00441372">
            <w:pPr>
              <w:spacing w:before="120" w:after="120"/>
            </w:pPr>
            <w:r w:rsidRPr="0065690F">
              <w:t>According to Article 5 of the Law on Food Safety, ministries or institutions involved in food safety and quality have authority to prepare technical regulations where applicable based on national or international food standards, codes of practices and guidelines.</w:t>
            </w:r>
          </w:p>
          <w:p w14:paraId="7E4D04FD" w14:textId="77777777" w:rsidR="005F2AF9" w:rsidRPr="0065690F" w:rsidRDefault="001C3C2B" w:rsidP="00441372">
            <w:pPr>
              <w:spacing w:before="120" w:after="120"/>
            </w:pPr>
            <w:r w:rsidRPr="0065690F">
              <w:t>The Law on Food Safety gives mandate to the following ministries as competent institutions to govern food safety control throughout the food chain. These include Ministry of Commerce, Ministry of Agriculture, Forestry and Fisheries, Ministry of Industry, Science, Technology and Innovation, Ministry of Health, Ministry of Tourism and Ministry of Economy and Finance.</w:t>
            </w:r>
          </w:p>
          <w:p w14:paraId="6BC5586A" w14:textId="77777777" w:rsidR="005F2AF9" w:rsidRPr="0065690F" w:rsidRDefault="001C3C2B" w:rsidP="00441372">
            <w:pPr>
              <w:spacing w:before="120" w:after="120"/>
            </w:pPr>
            <w:r w:rsidRPr="0065690F">
              <w:t>The food safety measures (requirements) as defined in Article 6, shall be based on key principles including food shall be safe, of good quality, hygienic and suitable for human consumption and food control shall be based on food safety measures or technical regulations as defined in Article 7.</w:t>
            </w:r>
          </w:p>
          <w:p w14:paraId="0CDDDA1D" w14:textId="77777777" w:rsidR="005F2AF9" w:rsidRPr="0065690F" w:rsidRDefault="001C3C2B" w:rsidP="00441372">
            <w:pPr>
              <w:spacing w:before="120" w:after="120"/>
            </w:pPr>
            <w:r w:rsidRPr="0065690F">
              <w:t>Food business operators, at every stage of the food chain, have the primary role and responsibility for ensuring the safety of their food products and shall collaborate with relevant competent authorities for implementation of food safety measures to avoid or mitigate risks posed by products (Article 11).</w:t>
            </w:r>
          </w:p>
          <w:p w14:paraId="36054AE6" w14:textId="7C9CE95C" w:rsidR="005F2AF9" w:rsidRPr="0065690F" w:rsidRDefault="001C3C2B" w:rsidP="00441372">
            <w:pPr>
              <w:spacing w:before="120" w:after="120"/>
            </w:pPr>
            <w:r w:rsidRPr="0065690F">
              <w:t>According to this Law (Article</w:t>
            </w:r>
            <w:r>
              <w:t>s</w:t>
            </w:r>
            <w:r w:rsidRPr="0065690F">
              <w:t xml:space="preserve"> 13-15) the food business operators have been grouped into three categories based on the nature of their business for example big, medium or small enterprise.</w:t>
            </w:r>
          </w:p>
          <w:p w14:paraId="04173486" w14:textId="4428BEBB" w:rsidR="004D34DD" w:rsidRPr="0065690F" w:rsidRDefault="001C3C2B" w:rsidP="003110D1">
            <w:pPr>
              <w:spacing w:before="240" w:after="120"/>
            </w:pPr>
            <w:r w:rsidRPr="0065690F">
              <w:lastRenderedPageBreak/>
              <w:t>The punishment is applied to food business operators, who fail to implements provisions as stipulated by this law (Article</w:t>
            </w:r>
            <w:r>
              <w:t>s</w:t>
            </w:r>
            <w:r w:rsidRPr="0065690F">
              <w:t xml:space="preserve"> 33-40).</w:t>
            </w:r>
          </w:p>
        </w:tc>
      </w:tr>
      <w:tr w:rsidR="00C7000C" w14:paraId="477F85C4" w14:textId="77777777" w:rsidTr="00F3021D">
        <w:tc>
          <w:tcPr>
            <w:tcW w:w="707" w:type="dxa"/>
            <w:tcBorders>
              <w:top w:val="single" w:sz="6" w:space="0" w:color="auto"/>
              <w:bottom w:val="single" w:sz="6" w:space="0" w:color="auto"/>
            </w:tcBorders>
            <w:shd w:val="clear" w:color="auto" w:fill="auto"/>
          </w:tcPr>
          <w:p w14:paraId="7478AC88" w14:textId="77777777" w:rsidR="00EA4725" w:rsidRPr="00441372" w:rsidRDefault="001C3C2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47FD79D" w14:textId="77777777" w:rsidR="00EA4725" w:rsidRPr="00441372" w:rsidRDefault="001C3C2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C7000C" w14:paraId="073C8BA4" w14:textId="77777777" w:rsidTr="00F3021D">
        <w:tc>
          <w:tcPr>
            <w:tcW w:w="707" w:type="dxa"/>
            <w:tcBorders>
              <w:top w:val="single" w:sz="6" w:space="0" w:color="auto"/>
              <w:bottom w:val="single" w:sz="6" w:space="0" w:color="auto"/>
            </w:tcBorders>
            <w:shd w:val="clear" w:color="auto" w:fill="auto"/>
          </w:tcPr>
          <w:p w14:paraId="023B80FB" w14:textId="77777777" w:rsidR="00EA4725" w:rsidRPr="00441372" w:rsidRDefault="001C3C2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CFC951" w14:textId="77777777" w:rsidR="00EA4725" w:rsidRPr="00441372" w:rsidRDefault="001C3C2B" w:rsidP="00441372">
            <w:pPr>
              <w:spacing w:before="120" w:after="120"/>
            </w:pPr>
            <w:r w:rsidRPr="00441372">
              <w:rPr>
                <w:b/>
              </w:rPr>
              <w:t>Is there a relevant international standard? If so, identify the standard:</w:t>
            </w:r>
          </w:p>
          <w:p w14:paraId="216B01BF" w14:textId="77777777" w:rsidR="00EA4725" w:rsidRPr="00441372" w:rsidRDefault="001C3C2B" w:rsidP="00441372">
            <w:pPr>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Cambodia has adopted more than 300 Codex Texts as National Standards and some of codex standards are adopted as technical regulations. These technical regulations are:</w:t>
            </w:r>
          </w:p>
          <w:p w14:paraId="212EB449" w14:textId="36E7349A" w:rsidR="005F2AF9" w:rsidRPr="0065690F" w:rsidRDefault="001C3C2B" w:rsidP="008604E7">
            <w:pPr>
              <w:numPr>
                <w:ilvl w:val="0"/>
                <w:numId w:val="16"/>
              </w:numPr>
              <w:ind w:left="1100" w:hanging="392"/>
            </w:pPr>
            <w:r w:rsidRPr="0065690F">
              <w:t>CXS1-1985: General Standard for labelling of Pre-packaged Food.</w:t>
            </w:r>
          </w:p>
          <w:p w14:paraId="17C71B54" w14:textId="5ED9D5D4" w:rsidR="005F2AF9" w:rsidRPr="0065690F" w:rsidRDefault="001C3C2B" w:rsidP="008604E7">
            <w:pPr>
              <w:numPr>
                <w:ilvl w:val="0"/>
                <w:numId w:val="16"/>
              </w:numPr>
              <w:ind w:left="1100" w:hanging="392"/>
            </w:pPr>
            <w:r w:rsidRPr="0065690F">
              <w:t>CXS192-1995: General Standards for Food Additives</w:t>
            </w:r>
          </w:p>
          <w:p w14:paraId="4C7031F1" w14:textId="65ED16B5" w:rsidR="005F2AF9" w:rsidRPr="0065690F" w:rsidRDefault="001C3C2B" w:rsidP="008604E7">
            <w:pPr>
              <w:numPr>
                <w:ilvl w:val="0"/>
                <w:numId w:val="16"/>
              </w:numPr>
              <w:spacing w:after="120"/>
              <w:ind w:left="1100" w:hanging="392"/>
            </w:pPr>
            <w:r w:rsidRPr="0065690F">
              <w:t>CXS-193-1995: General Standard for Contaminants and Toxins in Food and Feed</w:t>
            </w:r>
          </w:p>
          <w:p w14:paraId="0738CEE2" w14:textId="77777777" w:rsidR="00EA4725" w:rsidRPr="00441372" w:rsidRDefault="001C3C2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9656FE5" w14:textId="77777777" w:rsidR="00EA4725" w:rsidRPr="00441372" w:rsidRDefault="001C3C2B"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3827C15" w14:textId="5CD6DBCA" w:rsidR="00EA4725" w:rsidRPr="00441372" w:rsidRDefault="001C3C2B" w:rsidP="00441372">
            <w:pPr>
              <w:spacing w:after="120"/>
              <w:ind w:left="720" w:hanging="720"/>
              <w:rPr>
                <w:b/>
              </w:rPr>
            </w:pPr>
            <w:r w:rsidRPr="00441372">
              <w:rPr>
                <w:b/>
              </w:rPr>
              <w:t>[</w:t>
            </w:r>
            <w:r w:rsidR="008604E7">
              <w:rPr>
                <w:b/>
              </w:rPr>
              <w:t xml:space="preserve"> </w:t>
            </w:r>
            <w:r w:rsidRPr="00441372">
              <w:rPr>
                <w:b/>
              </w:rPr>
              <w:t>]</w:t>
            </w:r>
            <w:r w:rsidRPr="00441372">
              <w:rPr>
                <w:b/>
              </w:rPr>
              <w:tab/>
              <w:t>None</w:t>
            </w:r>
          </w:p>
          <w:p w14:paraId="2FDF0DF1" w14:textId="77777777" w:rsidR="00EA4725" w:rsidRPr="00441372" w:rsidRDefault="001C3C2B" w:rsidP="00441372">
            <w:pPr>
              <w:spacing w:after="120"/>
              <w:rPr>
                <w:b/>
              </w:rPr>
            </w:pPr>
            <w:r w:rsidRPr="00441372">
              <w:rPr>
                <w:b/>
              </w:rPr>
              <w:t xml:space="preserve">Does this proposed regulation conform to the relevant international standard? </w:t>
            </w:r>
          </w:p>
          <w:p w14:paraId="1B26A800" w14:textId="54E40067" w:rsidR="00EA4725" w:rsidRPr="00441372" w:rsidRDefault="001C3C2B" w:rsidP="00441372">
            <w:pPr>
              <w:spacing w:after="120"/>
              <w:rPr>
                <w:b/>
              </w:rPr>
            </w:pPr>
            <w:r w:rsidRPr="00441372">
              <w:rPr>
                <w:b/>
              </w:rPr>
              <w:t>[</w:t>
            </w:r>
            <w:r w:rsidR="00F30584">
              <w:rPr>
                <w:b/>
              </w:rPr>
              <w:t>X</w:t>
            </w:r>
            <w:r w:rsidRPr="00441372">
              <w:rPr>
                <w:b/>
              </w:rPr>
              <w:t>] Yes   [ ] No</w:t>
            </w:r>
          </w:p>
          <w:p w14:paraId="3507CC7C" w14:textId="77777777" w:rsidR="00EA4725" w:rsidRPr="00441372" w:rsidRDefault="001C3C2B" w:rsidP="00441372">
            <w:pPr>
              <w:spacing w:after="120"/>
            </w:pPr>
            <w:r w:rsidRPr="00441372">
              <w:rPr>
                <w:b/>
              </w:rPr>
              <w:t>If no, describe, whenever possible, how and why it deviates from the international standard:</w:t>
            </w:r>
            <w:r w:rsidRPr="0065690F">
              <w:t xml:space="preserve"> </w:t>
            </w:r>
          </w:p>
        </w:tc>
      </w:tr>
      <w:tr w:rsidR="00C7000C" w14:paraId="04F16C11" w14:textId="77777777" w:rsidTr="00F3021D">
        <w:tc>
          <w:tcPr>
            <w:tcW w:w="707" w:type="dxa"/>
            <w:tcBorders>
              <w:top w:val="single" w:sz="6" w:space="0" w:color="auto"/>
              <w:bottom w:val="single" w:sz="6" w:space="0" w:color="auto"/>
            </w:tcBorders>
            <w:shd w:val="clear" w:color="auto" w:fill="auto"/>
          </w:tcPr>
          <w:p w14:paraId="38C5B6D8" w14:textId="77777777" w:rsidR="00EA4725" w:rsidRPr="00441372" w:rsidRDefault="001C3C2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4045304" w14:textId="77777777" w:rsidR="00EA4725" w:rsidRPr="00441372" w:rsidRDefault="001C3C2B"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C7000C" w14:paraId="5BE06042" w14:textId="77777777" w:rsidTr="00F3021D">
        <w:tc>
          <w:tcPr>
            <w:tcW w:w="707" w:type="dxa"/>
            <w:tcBorders>
              <w:top w:val="single" w:sz="6" w:space="0" w:color="auto"/>
              <w:bottom w:val="single" w:sz="6" w:space="0" w:color="auto"/>
            </w:tcBorders>
            <w:shd w:val="clear" w:color="auto" w:fill="auto"/>
          </w:tcPr>
          <w:p w14:paraId="3CCB70B6" w14:textId="77777777" w:rsidR="00EA4725" w:rsidRPr="00441372" w:rsidRDefault="001C3C2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3AFDA38" w14:textId="77777777" w:rsidR="00EA4725" w:rsidRPr="00441372" w:rsidRDefault="001C3C2B" w:rsidP="00441372">
            <w:pPr>
              <w:spacing w:before="120" w:after="120"/>
            </w:pPr>
            <w:r w:rsidRPr="00441372">
              <w:rPr>
                <w:b/>
              </w:rPr>
              <w:t xml:space="preserve">Proposed date of adoption </w:t>
            </w:r>
            <w:r w:rsidRPr="00441372">
              <w:rPr>
                <w:b/>
                <w:i/>
              </w:rPr>
              <w:t>(dd/mm/yy)</w:t>
            </w:r>
            <w:r w:rsidRPr="00441372">
              <w:rPr>
                <w:b/>
              </w:rPr>
              <w:t>:</w:t>
            </w:r>
            <w:r w:rsidRPr="0065690F">
              <w:t xml:space="preserve"> 8 June 2022</w:t>
            </w:r>
          </w:p>
          <w:p w14:paraId="6C5389F5" w14:textId="77777777" w:rsidR="00EA4725" w:rsidRPr="00441372" w:rsidRDefault="001C3C2B" w:rsidP="00441372">
            <w:pPr>
              <w:spacing w:after="120"/>
            </w:pPr>
            <w:r w:rsidRPr="00441372">
              <w:rPr>
                <w:b/>
              </w:rPr>
              <w:t xml:space="preserve">Proposed date of publication </w:t>
            </w:r>
            <w:r w:rsidRPr="00441372">
              <w:rPr>
                <w:b/>
                <w:i/>
              </w:rPr>
              <w:t>(dd/mm/yy)</w:t>
            </w:r>
            <w:r w:rsidRPr="00441372">
              <w:rPr>
                <w:b/>
              </w:rPr>
              <w:t>:</w:t>
            </w:r>
            <w:r w:rsidRPr="0065690F">
              <w:t xml:space="preserve"> 8 June 2022</w:t>
            </w:r>
          </w:p>
        </w:tc>
      </w:tr>
      <w:tr w:rsidR="00C7000C" w14:paraId="6BF1DCBC" w14:textId="77777777" w:rsidTr="00F3021D">
        <w:tc>
          <w:tcPr>
            <w:tcW w:w="707" w:type="dxa"/>
            <w:tcBorders>
              <w:top w:val="single" w:sz="6" w:space="0" w:color="auto"/>
              <w:bottom w:val="single" w:sz="6" w:space="0" w:color="auto"/>
            </w:tcBorders>
            <w:shd w:val="clear" w:color="auto" w:fill="auto"/>
          </w:tcPr>
          <w:p w14:paraId="49D99F50" w14:textId="77777777" w:rsidR="00EA4725" w:rsidRPr="00441372" w:rsidRDefault="001C3C2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CC1AA03" w14:textId="77777777" w:rsidR="00EA4725" w:rsidRPr="00441372" w:rsidRDefault="001C3C2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8 June 2022</w:t>
            </w:r>
          </w:p>
          <w:p w14:paraId="6CA408C8" w14:textId="77777777" w:rsidR="00EA4725" w:rsidRPr="00441372" w:rsidRDefault="001C3C2B" w:rsidP="00441372">
            <w:pPr>
              <w:spacing w:after="120"/>
              <w:ind w:left="607" w:hanging="607"/>
              <w:rPr>
                <w:b/>
              </w:rPr>
            </w:pPr>
            <w:r w:rsidRPr="00441372">
              <w:rPr>
                <w:b/>
              </w:rPr>
              <w:t>[X]</w:t>
            </w:r>
            <w:r w:rsidRPr="00441372">
              <w:rPr>
                <w:b/>
              </w:rPr>
              <w:tab/>
              <w:t>Trade facilitating measure</w:t>
            </w:r>
            <w:r w:rsidRPr="0065690F">
              <w:t xml:space="preserve"> </w:t>
            </w:r>
          </w:p>
        </w:tc>
      </w:tr>
      <w:tr w:rsidR="00C7000C" w14:paraId="1AECB062" w14:textId="77777777" w:rsidTr="00F3021D">
        <w:tc>
          <w:tcPr>
            <w:tcW w:w="707" w:type="dxa"/>
            <w:tcBorders>
              <w:top w:val="single" w:sz="6" w:space="0" w:color="auto"/>
              <w:bottom w:val="single" w:sz="6" w:space="0" w:color="auto"/>
            </w:tcBorders>
            <w:shd w:val="clear" w:color="auto" w:fill="auto"/>
          </w:tcPr>
          <w:p w14:paraId="38AE10B5" w14:textId="77777777" w:rsidR="00EA4725" w:rsidRPr="00441372" w:rsidRDefault="001C3C2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C3C5B3" w14:textId="77777777" w:rsidR="00EA4725" w:rsidRPr="00441372" w:rsidRDefault="001C3C2B"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5984249D" w14:textId="77777777" w:rsidR="00EA4725" w:rsidRPr="00441372" w:rsidRDefault="001C3C2B" w:rsidP="00441372">
            <w:pPr>
              <w:spacing w:after="120"/>
            </w:pPr>
            <w:r w:rsidRPr="00441372">
              <w:rPr>
                <w:b/>
              </w:rPr>
              <w:t>Agency or authority designated to handle comments: [X] National Notification Authority, [ ] National Enquiry Point. Address, fax number and e-mail address (if available) of other body:</w:t>
            </w:r>
            <w:r w:rsidRPr="0065690F">
              <w:t xml:space="preserve"> </w:t>
            </w:r>
          </w:p>
          <w:p w14:paraId="3D7D8AE7" w14:textId="77777777" w:rsidR="005F2AF9" w:rsidRPr="0065690F" w:rsidRDefault="001C3C2B" w:rsidP="00441372">
            <w:r w:rsidRPr="0065690F">
              <w:t>Ministry of Commerce (MOC)</w:t>
            </w:r>
          </w:p>
          <w:p w14:paraId="1446A107" w14:textId="77777777" w:rsidR="005F2AF9" w:rsidRPr="0065690F" w:rsidRDefault="001C3C2B" w:rsidP="00441372">
            <w:r w:rsidRPr="0065690F">
              <w:t>Consumer Protection Competition and Fraud Repression (CCF)</w:t>
            </w:r>
          </w:p>
          <w:p w14:paraId="749C4C9A" w14:textId="77777777" w:rsidR="005F2AF9" w:rsidRPr="0065690F" w:rsidRDefault="001C3C2B" w:rsidP="00441372">
            <w:r w:rsidRPr="0065690F">
              <w:t>Directorate-General</w:t>
            </w:r>
          </w:p>
          <w:p w14:paraId="2B339F97" w14:textId="77777777" w:rsidR="005F2AF9" w:rsidRPr="0065690F" w:rsidRDefault="001C3C2B" w:rsidP="00441372">
            <w:r w:rsidRPr="0065690F">
              <w:t>St. 18, Kdey Takoy Village, Sangkat Veal Sbov, Khan Chbar Ampov</w:t>
            </w:r>
          </w:p>
          <w:p w14:paraId="767E3034" w14:textId="77777777" w:rsidR="005F2AF9" w:rsidRPr="0065690F" w:rsidRDefault="001C3C2B" w:rsidP="00441372">
            <w:r w:rsidRPr="0065690F">
              <w:t>Phnom Penh, Kingdom of Cambodia</w:t>
            </w:r>
          </w:p>
          <w:p w14:paraId="620C3E9D" w14:textId="08051AD4" w:rsidR="005F2AF9" w:rsidRPr="0065690F" w:rsidRDefault="001C3C2B" w:rsidP="008604E7">
            <w:pPr>
              <w:tabs>
                <w:tab w:val="left" w:pos="414"/>
              </w:tabs>
            </w:pPr>
            <w:r w:rsidRPr="0065690F">
              <w:t>Tel:</w:t>
            </w:r>
            <w:r w:rsidR="008604E7">
              <w:tab/>
            </w:r>
            <w:r w:rsidRPr="0065690F">
              <w:t>+(855) 23 231 856</w:t>
            </w:r>
          </w:p>
          <w:p w14:paraId="0ACAF377" w14:textId="46E2FA4D" w:rsidR="005F2AF9" w:rsidRPr="0065690F" w:rsidRDefault="001C3C2B" w:rsidP="008604E7">
            <w:pPr>
              <w:tabs>
                <w:tab w:val="left" w:pos="414"/>
              </w:tabs>
            </w:pPr>
            <w:r>
              <w:tab/>
            </w:r>
            <w:r w:rsidR="000263FA" w:rsidRPr="0065690F">
              <w:t>+(855) 92 830 856</w:t>
            </w:r>
          </w:p>
          <w:p w14:paraId="26EADB52" w14:textId="77777777" w:rsidR="005F2AF9" w:rsidRPr="0065690F" w:rsidRDefault="001C3C2B" w:rsidP="00441372">
            <w:pPr>
              <w:spacing w:after="120"/>
            </w:pPr>
            <w:r w:rsidRPr="0065690F">
              <w:t xml:space="preserve">E-mail: </w:t>
            </w:r>
            <w:hyperlink r:id="rId10" w:history="1">
              <w:r w:rsidRPr="0065690F">
                <w:rPr>
                  <w:color w:val="0000FF"/>
                  <w:u w:val="single"/>
                </w:rPr>
                <w:t>info@ccfdg.gov.kh</w:t>
              </w:r>
            </w:hyperlink>
          </w:p>
        </w:tc>
      </w:tr>
      <w:tr w:rsidR="00C7000C" w14:paraId="2C7C8809" w14:textId="77777777" w:rsidTr="00F3021D">
        <w:tc>
          <w:tcPr>
            <w:tcW w:w="707" w:type="dxa"/>
            <w:tcBorders>
              <w:top w:val="single" w:sz="6" w:space="0" w:color="auto"/>
            </w:tcBorders>
            <w:shd w:val="clear" w:color="auto" w:fill="auto"/>
          </w:tcPr>
          <w:p w14:paraId="0537600B" w14:textId="77777777" w:rsidR="00EA4725" w:rsidRPr="00441372" w:rsidRDefault="001C3C2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86C4191" w14:textId="77777777" w:rsidR="00EA4725" w:rsidRPr="00441372" w:rsidRDefault="001C3C2B" w:rsidP="00F3021D">
            <w:pPr>
              <w:keepNext/>
              <w:keepLines/>
              <w:spacing w:before="120" w:after="120"/>
              <w:rPr>
                <w:b/>
              </w:rPr>
            </w:pPr>
            <w:r w:rsidRPr="00441372">
              <w:rPr>
                <w:b/>
              </w:rPr>
              <w:t>Text(s) available from: [X] National Notification Authority, [ ] National Enquiry Point. Address, fax number and e-mail address (if available) of other body:</w:t>
            </w:r>
            <w:r w:rsidRPr="0065690F">
              <w:rPr>
                <w:bCs/>
              </w:rPr>
              <w:t xml:space="preserve"> </w:t>
            </w:r>
          </w:p>
          <w:p w14:paraId="2C1C1AAA" w14:textId="77777777" w:rsidR="00EA4725" w:rsidRPr="0065690F" w:rsidRDefault="001C3C2B" w:rsidP="00F3021D">
            <w:pPr>
              <w:keepNext/>
              <w:keepLines/>
              <w:rPr>
                <w:bCs/>
              </w:rPr>
            </w:pPr>
            <w:r w:rsidRPr="0065690F">
              <w:rPr>
                <w:bCs/>
              </w:rPr>
              <w:t>H.E. PHAN Oun</w:t>
            </w:r>
          </w:p>
          <w:p w14:paraId="4D37AE12" w14:textId="77777777" w:rsidR="00EA4725" w:rsidRPr="0065690F" w:rsidRDefault="001C3C2B" w:rsidP="00F3021D">
            <w:pPr>
              <w:keepNext/>
              <w:keepLines/>
              <w:rPr>
                <w:bCs/>
              </w:rPr>
            </w:pPr>
            <w:r w:rsidRPr="0065690F">
              <w:rPr>
                <w:bCs/>
              </w:rPr>
              <w:t>Delegate of the Royal Government of Cambodia</w:t>
            </w:r>
          </w:p>
          <w:p w14:paraId="6C1DB8DC" w14:textId="77777777" w:rsidR="00EA4725" w:rsidRPr="0065690F" w:rsidRDefault="001C3C2B" w:rsidP="00F3021D">
            <w:pPr>
              <w:keepNext/>
              <w:keepLines/>
              <w:rPr>
                <w:bCs/>
              </w:rPr>
            </w:pPr>
            <w:r w:rsidRPr="0065690F">
              <w:rPr>
                <w:bCs/>
              </w:rPr>
              <w:t>in charge as Director General of Consumer Protection Competition and Fraud Repression (CCF)</w:t>
            </w:r>
          </w:p>
          <w:p w14:paraId="4B49C556" w14:textId="77777777" w:rsidR="00EA4725" w:rsidRPr="0065690F" w:rsidRDefault="001C3C2B" w:rsidP="00F3021D">
            <w:pPr>
              <w:keepNext/>
              <w:keepLines/>
              <w:rPr>
                <w:bCs/>
              </w:rPr>
            </w:pPr>
            <w:r w:rsidRPr="0065690F">
              <w:rPr>
                <w:bCs/>
              </w:rPr>
              <w:t>Directorate-General of Ministry of Commerce</w:t>
            </w:r>
          </w:p>
          <w:p w14:paraId="68243FFE" w14:textId="77777777" w:rsidR="00EA4725" w:rsidRPr="0065690F" w:rsidRDefault="001C3C2B" w:rsidP="00F3021D">
            <w:pPr>
              <w:keepNext/>
              <w:keepLines/>
              <w:rPr>
                <w:bCs/>
              </w:rPr>
            </w:pPr>
            <w:r w:rsidRPr="0065690F">
              <w:rPr>
                <w:bCs/>
              </w:rPr>
              <w:t>St. 18, Kdey Takoy Village, Sangkat Veal Sbov, Khan Chbar Ampov</w:t>
            </w:r>
          </w:p>
          <w:p w14:paraId="51B7E59D" w14:textId="77777777" w:rsidR="00EA4725" w:rsidRPr="0065690F" w:rsidRDefault="001C3C2B" w:rsidP="00F3021D">
            <w:pPr>
              <w:keepNext/>
              <w:keepLines/>
              <w:rPr>
                <w:bCs/>
              </w:rPr>
            </w:pPr>
            <w:r w:rsidRPr="0065690F">
              <w:rPr>
                <w:bCs/>
              </w:rPr>
              <w:t>Phnom Penh, Kingdom of Cambodia</w:t>
            </w:r>
          </w:p>
          <w:p w14:paraId="16F098EC" w14:textId="2063A583" w:rsidR="00EA4725" w:rsidRPr="0065690F" w:rsidRDefault="001C3C2B" w:rsidP="008604E7">
            <w:pPr>
              <w:keepNext/>
              <w:keepLines/>
              <w:tabs>
                <w:tab w:val="left" w:pos="414"/>
              </w:tabs>
              <w:rPr>
                <w:bCs/>
              </w:rPr>
            </w:pPr>
            <w:r w:rsidRPr="0065690F">
              <w:rPr>
                <w:bCs/>
              </w:rPr>
              <w:t>Tel:</w:t>
            </w:r>
            <w:r w:rsidR="008604E7">
              <w:rPr>
                <w:bCs/>
              </w:rPr>
              <w:tab/>
            </w:r>
            <w:r w:rsidRPr="0065690F">
              <w:rPr>
                <w:bCs/>
              </w:rPr>
              <w:t>+(855) 23 231 856</w:t>
            </w:r>
          </w:p>
          <w:p w14:paraId="272743E4" w14:textId="29D15AE6" w:rsidR="00EA4725" w:rsidRPr="0065690F" w:rsidRDefault="001C3C2B" w:rsidP="008604E7">
            <w:pPr>
              <w:keepNext/>
              <w:keepLines/>
              <w:tabs>
                <w:tab w:val="left" w:pos="414"/>
              </w:tabs>
              <w:rPr>
                <w:bCs/>
              </w:rPr>
            </w:pPr>
            <w:r>
              <w:rPr>
                <w:bCs/>
              </w:rPr>
              <w:tab/>
            </w:r>
            <w:r w:rsidR="000263FA" w:rsidRPr="0065690F">
              <w:rPr>
                <w:bCs/>
              </w:rPr>
              <w:t>+(855) 92 830 856</w:t>
            </w:r>
          </w:p>
          <w:p w14:paraId="28645779" w14:textId="77777777" w:rsidR="00EA4725" w:rsidRPr="0065690F" w:rsidRDefault="001C3C2B" w:rsidP="00F3021D">
            <w:pPr>
              <w:keepNext/>
              <w:keepLines/>
              <w:spacing w:after="120"/>
              <w:rPr>
                <w:bCs/>
              </w:rPr>
            </w:pPr>
            <w:r w:rsidRPr="0065690F">
              <w:rPr>
                <w:bCs/>
              </w:rPr>
              <w:t xml:space="preserve">E-mail: </w:t>
            </w:r>
            <w:hyperlink r:id="rId11" w:history="1">
              <w:r w:rsidRPr="0065690F">
                <w:rPr>
                  <w:bCs/>
                  <w:color w:val="0000FF"/>
                  <w:u w:val="single"/>
                </w:rPr>
                <w:t>info@ccfdg.gov.kh</w:t>
              </w:r>
            </w:hyperlink>
          </w:p>
        </w:tc>
      </w:tr>
    </w:tbl>
    <w:p w14:paraId="407B9B42" w14:textId="77777777" w:rsidR="007141CF" w:rsidRPr="00441372" w:rsidRDefault="007141CF" w:rsidP="00441372"/>
    <w:sectPr w:rsidR="007141CF" w:rsidRPr="00441372" w:rsidSect="008604E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6FE4" w14:textId="77777777" w:rsidR="001C3C2B" w:rsidRDefault="001C3C2B">
      <w:r>
        <w:separator/>
      </w:r>
    </w:p>
  </w:endnote>
  <w:endnote w:type="continuationSeparator" w:id="0">
    <w:p w14:paraId="3E52F23C" w14:textId="77777777" w:rsidR="001C3C2B" w:rsidRDefault="001C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8FFC" w14:textId="4ED2EE88" w:rsidR="00EA4725" w:rsidRPr="008604E7" w:rsidRDefault="001C3C2B" w:rsidP="008604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9B72" w14:textId="7BC60AB6" w:rsidR="00EA4725" w:rsidRPr="008604E7" w:rsidRDefault="001C3C2B" w:rsidP="008604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C16" w14:textId="77777777" w:rsidR="00C863EB" w:rsidRPr="00441372" w:rsidRDefault="001C3C2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EC6D" w14:textId="77777777" w:rsidR="001C3C2B" w:rsidRDefault="001C3C2B">
      <w:r>
        <w:separator/>
      </w:r>
    </w:p>
  </w:footnote>
  <w:footnote w:type="continuationSeparator" w:id="0">
    <w:p w14:paraId="4977CDD2" w14:textId="77777777" w:rsidR="001C3C2B" w:rsidRDefault="001C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FDB9" w14:textId="77777777" w:rsidR="008604E7" w:rsidRPr="008604E7" w:rsidRDefault="001C3C2B" w:rsidP="008604E7">
    <w:pPr>
      <w:pStyle w:val="Header"/>
      <w:pBdr>
        <w:bottom w:val="single" w:sz="4" w:space="1" w:color="auto"/>
      </w:pBdr>
      <w:tabs>
        <w:tab w:val="clear" w:pos="4513"/>
        <w:tab w:val="clear" w:pos="9027"/>
      </w:tabs>
      <w:jc w:val="center"/>
    </w:pPr>
    <w:r w:rsidRPr="008604E7">
      <w:t>G/SPS/N/KHM/2</w:t>
    </w:r>
  </w:p>
  <w:p w14:paraId="1ECB19FF" w14:textId="77777777" w:rsidR="008604E7" w:rsidRPr="008604E7" w:rsidRDefault="008604E7" w:rsidP="008604E7">
    <w:pPr>
      <w:pStyle w:val="Header"/>
      <w:pBdr>
        <w:bottom w:val="single" w:sz="4" w:space="1" w:color="auto"/>
      </w:pBdr>
      <w:tabs>
        <w:tab w:val="clear" w:pos="4513"/>
        <w:tab w:val="clear" w:pos="9027"/>
      </w:tabs>
      <w:jc w:val="center"/>
    </w:pPr>
  </w:p>
  <w:p w14:paraId="02D83486" w14:textId="4C9F8556" w:rsidR="008604E7" w:rsidRPr="008604E7" w:rsidRDefault="001C3C2B" w:rsidP="008604E7">
    <w:pPr>
      <w:pStyle w:val="Header"/>
      <w:pBdr>
        <w:bottom w:val="single" w:sz="4" w:space="1" w:color="auto"/>
      </w:pBdr>
      <w:tabs>
        <w:tab w:val="clear" w:pos="4513"/>
        <w:tab w:val="clear" w:pos="9027"/>
      </w:tabs>
      <w:jc w:val="center"/>
    </w:pPr>
    <w:r w:rsidRPr="008604E7">
      <w:t xml:space="preserve">- </w:t>
    </w:r>
    <w:r w:rsidRPr="008604E7">
      <w:fldChar w:fldCharType="begin"/>
    </w:r>
    <w:r w:rsidRPr="008604E7">
      <w:instrText xml:space="preserve"> PAGE </w:instrText>
    </w:r>
    <w:r w:rsidRPr="008604E7">
      <w:fldChar w:fldCharType="separate"/>
    </w:r>
    <w:r w:rsidRPr="008604E7">
      <w:rPr>
        <w:noProof/>
      </w:rPr>
      <w:t>2</w:t>
    </w:r>
    <w:r w:rsidRPr="008604E7">
      <w:fldChar w:fldCharType="end"/>
    </w:r>
    <w:r w:rsidRPr="008604E7">
      <w:t xml:space="preserve"> -</w:t>
    </w:r>
  </w:p>
  <w:p w14:paraId="6B0018E4" w14:textId="2B94B45E" w:rsidR="00EA4725" w:rsidRPr="008604E7" w:rsidRDefault="00EA4725" w:rsidP="008604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512" w14:textId="77777777" w:rsidR="008604E7" w:rsidRPr="008604E7" w:rsidRDefault="001C3C2B" w:rsidP="008604E7">
    <w:pPr>
      <w:pStyle w:val="Header"/>
      <w:pBdr>
        <w:bottom w:val="single" w:sz="4" w:space="1" w:color="auto"/>
      </w:pBdr>
      <w:tabs>
        <w:tab w:val="clear" w:pos="4513"/>
        <w:tab w:val="clear" w:pos="9027"/>
      </w:tabs>
      <w:jc w:val="center"/>
    </w:pPr>
    <w:r w:rsidRPr="008604E7">
      <w:t>G/SPS/N/KHM/2</w:t>
    </w:r>
  </w:p>
  <w:p w14:paraId="710A1A02" w14:textId="77777777" w:rsidR="008604E7" w:rsidRPr="008604E7" w:rsidRDefault="008604E7" w:rsidP="008604E7">
    <w:pPr>
      <w:pStyle w:val="Header"/>
      <w:pBdr>
        <w:bottom w:val="single" w:sz="4" w:space="1" w:color="auto"/>
      </w:pBdr>
      <w:tabs>
        <w:tab w:val="clear" w:pos="4513"/>
        <w:tab w:val="clear" w:pos="9027"/>
      </w:tabs>
      <w:jc w:val="center"/>
    </w:pPr>
  </w:p>
  <w:p w14:paraId="135799E8" w14:textId="3132483D" w:rsidR="008604E7" w:rsidRPr="008604E7" w:rsidRDefault="001C3C2B" w:rsidP="008604E7">
    <w:pPr>
      <w:pStyle w:val="Header"/>
      <w:pBdr>
        <w:bottom w:val="single" w:sz="4" w:space="1" w:color="auto"/>
      </w:pBdr>
      <w:tabs>
        <w:tab w:val="clear" w:pos="4513"/>
        <w:tab w:val="clear" w:pos="9027"/>
      </w:tabs>
      <w:jc w:val="center"/>
    </w:pPr>
    <w:r w:rsidRPr="008604E7">
      <w:t xml:space="preserve">- </w:t>
    </w:r>
    <w:r w:rsidRPr="008604E7">
      <w:fldChar w:fldCharType="begin"/>
    </w:r>
    <w:r w:rsidRPr="008604E7">
      <w:instrText xml:space="preserve"> PAGE </w:instrText>
    </w:r>
    <w:r w:rsidRPr="008604E7">
      <w:fldChar w:fldCharType="separate"/>
    </w:r>
    <w:r w:rsidRPr="008604E7">
      <w:rPr>
        <w:noProof/>
      </w:rPr>
      <w:t>2</w:t>
    </w:r>
    <w:r w:rsidRPr="008604E7">
      <w:fldChar w:fldCharType="end"/>
    </w:r>
    <w:r w:rsidRPr="008604E7">
      <w:t xml:space="preserve"> -</w:t>
    </w:r>
  </w:p>
  <w:p w14:paraId="64636581" w14:textId="0D15AB41" w:rsidR="00EA4725" w:rsidRPr="008604E7" w:rsidRDefault="00EA4725" w:rsidP="008604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000C" w14:paraId="0A1C4E44" w14:textId="77777777" w:rsidTr="00EE3CAF">
      <w:trPr>
        <w:trHeight w:val="240"/>
        <w:jc w:val="center"/>
      </w:trPr>
      <w:tc>
        <w:tcPr>
          <w:tcW w:w="3794" w:type="dxa"/>
          <w:shd w:val="clear" w:color="auto" w:fill="FFFFFF"/>
          <w:tcMar>
            <w:left w:w="108" w:type="dxa"/>
            <w:right w:w="108" w:type="dxa"/>
          </w:tcMar>
          <w:vAlign w:val="center"/>
        </w:tcPr>
        <w:p w14:paraId="574DB1B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AA86AF6" w14:textId="74140857" w:rsidR="00ED54E0" w:rsidRPr="00EA4725" w:rsidRDefault="001C3C2B" w:rsidP="00422B6F">
          <w:pPr>
            <w:jc w:val="right"/>
            <w:rPr>
              <w:b/>
              <w:color w:val="FF0000"/>
              <w:szCs w:val="16"/>
            </w:rPr>
          </w:pPr>
          <w:r>
            <w:rPr>
              <w:b/>
              <w:color w:val="FF0000"/>
              <w:szCs w:val="16"/>
            </w:rPr>
            <w:t xml:space="preserve"> </w:t>
          </w:r>
        </w:p>
      </w:tc>
    </w:tr>
    <w:bookmarkEnd w:id="0"/>
    <w:tr w:rsidR="00C7000C" w14:paraId="56DECAC3" w14:textId="77777777" w:rsidTr="00EE3CAF">
      <w:trPr>
        <w:trHeight w:val="213"/>
        <w:jc w:val="center"/>
      </w:trPr>
      <w:tc>
        <w:tcPr>
          <w:tcW w:w="3794" w:type="dxa"/>
          <w:vMerge w:val="restart"/>
          <w:shd w:val="clear" w:color="auto" w:fill="FFFFFF"/>
          <w:tcMar>
            <w:left w:w="0" w:type="dxa"/>
            <w:right w:w="0" w:type="dxa"/>
          </w:tcMar>
        </w:tcPr>
        <w:p w14:paraId="7AF33395" w14:textId="77777777" w:rsidR="00ED54E0" w:rsidRPr="00EA4725" w:rsidRDefault="009C01F6" w:rsidP="00422B6F">
          <w:pPr>
            <w:jc w:val="left"/>
          </w:pPr>
          <w:r>
            <w:rPr>
              <w:lang w:eastAsia="en-GB"/>
            </w:rPr>
            <w:pict w14:anchorId="3D78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0ED3C3" w14:textId="77777777" w:rsidR="00ED54E0" w:rsidRPr="00EA4725" w:rsidRDefault="00ED54E0" w:rsidP="00422B6F">
          <w:pPr>
            <w:jc w:val="right"/>
            <w:rPr>
              <w:b/>
              <w:szCs w:val="16"/>
            </w:rPr>
          </w:pPr>
        </w:p>
      </w:tc>
    </w:tr>
    <w:tr w:rsidR="00C7000C" w14:paraId="6CDEB7E2" w14:textId="77777777" w:rsidTr="00EE3CAF">
      <w:trPr>
        <w:trHeight w:val="868"/>
        <w:jc w:val="center"/>
      </w:trPr>
      <w:tc>
        <w:tcPr>
          <w:tcW w:w="3794" w:type="dxa"/>
          <w:vMerge/>
          <w:shd w:val="clear" w:color="auto" w:fill="FFFFFF"/>
          <w:tcMar>
            <w:left w:w="108" w:type="dxa"/>
            <w:right w:w="108" w:type="dxa"/>
          </w:tcMar>
        </w:tcPr>
        <w:p w14:paraId="3C157C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2E2B86F" w14:textId="77777777" w:rsidR="008604E7" w:rsidRDefault="001C3C2B" w:rsidP="00656ABC">
          <w:pPr>
            <w:jc w:val="right"/>
            <w:rPr>
              <w:b/>
              <w:szCs w:val="16"/>
            </w:rPr>
          </w:pPr>
          <w:bookmarkStart w:id="1" w:name="bmkSymbols"/>
          <w:r>
            <w:rPr>
              <w:b/>
              <w:szCs w:val="16"/>
            </w:rPr>
            <w:t>G/SPS/N/KHM/2</w:t>
          </w:r>
          <w:bookmarkEnd w:id="1"/>
        </w:p>
      </w:tc>
    </w:tr>
    <w:tr w:rsidR="00C7000C" w14:paraId="447DDCE3" w14:textId="77777777" w:rsidTr="00EE3CAF">
      <w:trPr>
        <w:trHeight w:val="240"/>
        <w:jc w:val="center"/>
      </w:trPr>
      <w:tc>
        <w:tcPr>
          <w:tcW w:w="3794" w:type="dxa"/>
          <w:vMerge/>
          <w:shd w:val="clear" w:color="auto" w:fill="FFFFFF"/>
          <w:tcMar>
            <w:left w:w="108" w:type="dxa"/>
            <w:right w:w="108" w:type="dxa"/>
          </w:tcMar>
          <w:vAlign w:val="center"/>
        </w:tcPr>
        <w:p w14:paraId="374139C3" w14:textId="77777777" w:rsidR="00ED54E0" w:rsidRPr="00EA4725" w:rsidRDefault="00ED54E0" w:rsidP="00422B6F"/>
      </w:tc>
      <w:tc>
        <w:tcPr>
          <w:tcW w:w="5448" w:type="dxa"/>
          <w:gridSpan w:val="2"/>
          <w:shd w:val="clear" w:color="auto" w:fill="FFFFFF"/>
          <w:tcMar>
            <w:left w:w="108" w:type="dxa"/>
            <w:right w:w="108" w:type="dxa"/>
          </w:tcMar>
          <w:vAlign w:val="center"/>
        </w:tcPr>
        <w:p w14:paraId="5C51AD9A" w14:textId="66A30C8B" w:rsidR="00ED54E0" w:rsidRPr="00EA4725" w:rsidRDefault="001C3C2B" w:rsidP="00422B6F">
          <w:pPr>
            <w:jc w:val="right"/>
            <w:rPr>
              <w:szCs w:val="16"/>
            </w:rPr>
          </w:pPr>
          <w:bookmarkStart w:id="2" w:name="spsDateDistribution"/>
          <w:bookmarkStart w:id="3" w:name="bmkDate"/>
          <w:bookmarkEnd w:id="2"/>
          <w:bookmarkEnd w:id="3"/>
          <w:r>
            <w:rPr>
              <w:szCs w:val="16"/>
            </w:rPr>
            <w:t>2 July 2024</w:t>
          </w:r>
        </w:p>
      </w:tc>
    </w:tr>
    <w:tr w:rsidR="00C7000C" w14:paraId="008A915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FD88B" w14:textId="4D5050AE" w:rsidR="00ED54E0" w:rsidRPr="00EA4725" w:rsidRDefault="001C3C2B"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9C01F6">
            <w:rPr>
              <w:color w:val="FF0000"/>
              <w:szCs w:val="16"/>
            </w:rPr>
            <w:t>4838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8730B70" w14:textId="77777777" w:rsidR="00ED54E0" w:rsidRPr="00EA4725" w:rsidRDefault="001C3C2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7000C" w14:paraId="54F53AE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F6A5A6" w14:textId="3D17CDBF" w:rsidR="00ED54E0" w:rsidRPr="00EA4725" w:rsidRDefault="001C3C2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73DB27D" w14:textId="4A9A2D41" w:rsidR="00ED54E0" w:rsidRPr="00441372" w:rsidRDefault="001C3C2B" w:rsidP="00EC687E">
          <w:pPr>
            <w:jc w:val="right"/>
            <w:rPr>
              <w:bCs/>
              <w:szCs w:val="18"/>
            </w:rPr>
          </w:pPr>
          <w:bookmarkStart w:id="8" w:name="bmkLanguage"/>
          <w:r>
            <w:rPr>
              <w:bCs/>
              <w:szCs w:val="18"/>
            </w:rPr>
            <w:t>Original: English</w:t>
          </w:r>
          <w:bookmarkEnd w:id="8"/>
        </w:p>
      </w:tc>
    </w:tr>
  </w:tbl>
  <w:p w14:paraId="5EE1936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9F3"/>
    <w:multiLevelType w:val="hybridMultilevel"/>
    <w:tmpl w:val="DD1ACF8E"/>
    <w:lvl w:ilvl="0" w:tplc="DE3E8792">
      <w:start w:val="1"/>
      <w:numFmt w:val="bullet"/>
      <w:lvlText w:val=""/>
      <w:lvlJc w:val="left"/>
      <w:pPr>
        <w:ind w:left="720" w:hanging="360"/>
      </w:pPr>
      <w:rPr>
        <w:rFonts w:ascii="Symbol" w:hAnsi="Symbol" w:hint="default"/>
      </w:rPr>
    </w:lvl>
    <w:lvl w:ilvl="1" w:tplc="736EA204" w:tentative="1">
      <w:start w:val="1"/>
      <w:numFmt w:val="bullet"/>
      <w:lvlText w:val="o"/>
      <w:lvlJc w:val="left"/>
      <w:pPr>
        <w:ind w:left="1440" w:hanging="360"/>
      </w:pPr>
      <w:rPr>
        <w:rFonts w:ascii="Courier New" w:hAnsi="Courier New" w:cs="Courier New" w:hint="default"/>
      </w:rPr>
    </w:lvl>
    <w:lvl w:ilvl="2" w:tplc="0666F878" w:tentative="1">
      <w:start w:val="1"/>
      <w:numFmt w:val="bullet"/>
      <w:lvlText w:val=""/>
      <w:lvlJc w:val="left"/>
      <w:pPr>
        <w:ind w:left="2160" w:hanging="360"/>
      </w:pPr>
      <w:rPr>
        <w:rFonts w:ascii="Wingdings" w:hAnsi="Wingdings" w:hint="default"/>
      </w:rPr>
    </w:lvl>
    <w:lvl w:ilvl="3" w:tplc="B82E5ECA" w:tentative="1">
      <w:start w:val="1"/>
      <w:numFmt w:val="bullet"/>
      <w:lvlText w:val=""/>
      <w:lvlJc w:val="left"/>
      <w:pPr>
        <w:ind w:left="2880" w:hanging="360"/>
      </w:pPr>
      <w:rPr>
        <w:rFonts w:ascii="Symbol" w:hAnsi="Symbol" w:hint="default"/>
      </w:rPr>
    </w:lvl>
    <w:lvl w:ilvl="4" w:tplc="01382F4A" w:tentative="1">
      <w:start w:val="1"/>
      <w:numFmt w:val="bullet"/>
      <w:lvlText w:val="o"/>
      <w:lvlJc w:val="left"/>
      <w:pPr>
        <w:ind w:left="3600" w:hanging="360"/>
      </w:pPr>
      <w:rPr>
        <w:rFonts w:ascii="Courier New" w:hAnsi="Courier New" w:cs="Courier New" w:hint="default"/>
      </w:rPr>
    </w:lvl>
    <w:lvl w:ilvl="5" w:tplc="A3E031F6" w:tentative="1">
      <w:start w:val="1"/>
      <w:numFmt w:val="bullet"/>
      <w:lvlText w:val=""/>
      <w:lvlJc w:val="left"/>
      <w:pPr>
        <w:ind w:left="4320" w:hanging="360"/>
      </w:pPr>
      <w:rPr>
        <w:rFonts w:ascii="Wingdings" w:hAnsi="Wingdings" w:hint="default"/>
      </w:rPr>
    </w:lvl>
    <w:lvl w:ilvl="6" w:tplc="F1C0D3D8" w:tentative="1">
      <w:start w:val="1"/>
      <w:numFmt w:val="bullet"/>
      <w:lvlText w:val=""/>
      <w:lvlJc w:val="left"/>
      <w:pPr>
        <w:ind w:left="5040" w:hanging="360"/>
      </w:pPr>
      <w:rPr>
        <w:rFonts w:ascii="Symbol" w:hAnsi="Symbol" w:hint="default"/>
      </w:rPr>
    </w:lvl>
    <w:lvl w:ilvl="7" w:tplc="808C0F82" w:tentative="1">
      <w:start w:val="1"/>
      <w:numFmt w:val="bullet"/>
      <w:lvlText w:val="o"/>
      <w:lvlJc w:val="left"/>
      <w:pPr>
        <w:ind w:left="5760" w:hanging="360"/>
      </w:pPr>
      <w:rPr>
        <w:rFonts w:ascii="Courier New" w:hAnsi="Courier New" w:cs="Courier New" w:hint="default"/>
      </w:rPr>
    </w:lvl>
    <w:lvl w:ilvl="8" w:tplc="31A01F3E" w:tentative="1">
      <w:start w:val="1"/>
      <w:numFmt w:val="bullet"/>
      <w:lvlText w:val=""/>
      <w:lvlJc w:val="left"/>
      <w:pPr>
        <w:ind w:left="6480" w:hanging="360"/>
      </w:pPr>
      <w:rPr>
        <w:rFonts w:ascii="Wingdings" w:hAnsi="Wingdings" w:hint="default"/>
      </w:rPr>
    </w:lvl>
  </w:abstractNum>
  <w:abstractNum w:abstractNumId="11" w15:restartNumberingAfterBreak="0">
    <w:nsid w:val="4A641EAD"/>
    <w:multiLevelType w:val="hybridMultilevel"/>
    <w:tmpl w:val="15A817EC"/>
    <w:lvl w:ilvl="0" w:tplc="BA9A2C0E">
      <w:start w:val="1"/>
      <w:numFmt w:val="bullet"/>
      <w:lvlText w:val="-"/>
      <w:lvlJc w:val="left"/>
      <w:pPr>
        <w:ind w:left="720" w:hanging="360"/>
      </w:pPr>
      <w:rPr>
        <w:rFonts w:ascii="Symbol" w:hAnsi="Symbol" w:hint="default"/>
      </w:rPr>
    </w:lvl>
    <w:lvl w:ilvl="1" w:tplc="9392C65C" w:tentative="1">
      <w:start w:val="1"/>
      <w:numFmt w:val="bullet"/>
      <w:lvlText w:val="o"/>
      <w:lvlJc w:val="left"/>
      <w:pPr>
        <w:ind w:left="1440" w:hanging="360"/>
      </w:pPr>
      <w:rPr>
        <w:rFonts w:ascii="Courier New" w:hAnsi="Courier New" w:cs="Courier New" w:hint="default"/>
      </w:rPr>
    </w:lvl>
    <w:lvl w:ilvl="2" w:tplc="6B74DB4A" w:tentative="1">
      <w:start w:val="1"/>
      <w:numFmt w:val="bullet"/>
      <w:lvlText w:val=""/>
      <w:lvlJc w:val="left"/>
      <w:pPr>
        <w:ind w:left="2160" w:hanging="360"/>
      </w:pPr>
      <w:rPr>
        <w:rFonts w:ascii="Wingdings" w:hAnsi="Wingdings" w:hint="default"/>
      </w:rPr>
    </w:lvl>
    <w:lvl w:ilvl="3" w:tplc="65969EB0" w:tentative="1">
      <w:start w:val="1"/>
      <w:numFmt w:val="bullet"/>
      <w:lvlText w:val=""/>
      <w:lvlJc w:val="left"/>
      <w:pPr>
        <w:ind w:left="2880" w:hanging="360"/>
      </w:pPr>
      <w:rPr>
        <w:rFonts w:ascii="Symbol" w:hAnsi="Symbol" w:hint="default"/>
      </w:rPr>
    </w:lvl>
    <w:lvl w:ilvl="4" w:tplc="3820A4BC" w:tentative="1">
      <w:start w:val="1"/>
      <w:numFmt w:val="bullet"/>
      <w:lvlText w:val="o"/>
      <w:lvlJc w:val="left"/>
      <w:pPr>
        <w:ind w:left="3600" w:hanging="360"/>
      </w:pPr>
      <w:rPr>
        <w:rFonts w:ascii="Courier New" w:hAnsi="Courier New" w:cs="Courier New" w:hint="default"/>
      </w:rPr>
    </w:lvl>
    <w:lvl w:ilvl="5" w:tplc="3D041E64" w:tentative="1">
      <w:start w:val="1"/>
      <w:numFmt w:val="bullet"/>
      <w:lvlText w:val=""/>
      <w:lvlJc w:val="left"/>
      <w:pPr>
        <w:ind w:left="4320" w:hanging="360"/>
      </w:pPr>
      <w:rPr>
        <w:rFonts w:ascii="Wingdings" w:hAnsi="Wingdings" w:hint="default"/>
      </w:rPr>
    </w:lvl>
    <w:lvl w:ilvl="6" w:tplc="5ACA5D68" w:tentative="1">
      <w:start w:val="1"/>
      <w:numFmt w:val="bullet"/>
      <w:lvlText w:val=""/>
      <w:lvlJc w:val="left"/>
      <w:pPr>
        <w:ind w:left="5040" w:hanging="360"/>
      </w:pPr>
      <w:rPr>
        <w:rFonts w:ascii="Symbol" w:hAnsi="Symbol" w:hint="default"/>
      </w:rPr>
    </w:lvl>
    <w:lvl w:ilvl="7" w:tplc="E5DA9B50" w:tentative="1">
      <w:start w:val="1"/>
      <w:numFmt w:val="bullet"/>
      <w:lvlText w:val="o"/>
      <w:lvlJc w:val="left"/>
      <w:pPr>
        <w:ind w:left="5760" w:hanging="360"/>
      </w:pPr>
      <w:rPr>
        <w:rFonts w:ascii="Courier New" w:hAnsi="Courier New" w:cs="Courier New" w:hint="default"/>
      </w:rPr>
    </w:lvl>
    <w:lvl w:ilvl="8" w:tplc="DD767EC8"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9CC2129"/>
    <w:multiLevelType w:val="hybridMultilevel"/>
    <w:tmpl w:val="BD3E63FE"/>
    <w:lvl w:ilvl="0" w:tplc="37E4AB4E">
      <w:numFmt w:val="bullet"/>
      <w:lvlText w:val="•"/>
      <w:lvlJc w:val="left"/>
      <w:pPr>
        <w:ind w:left="930" w:hanging="570"/>
      </w:pPr>
      <w:rPr>
        <w:rFonts w:ascii="Verdana" w:eastAsia="Calibri" w:hAnsi="Verdana" w:cs="Times New Roman" w:hint="default"/>
      </w:rPr>
    </w:lvl>
    <w:lvl w:ilvl="1" w:tplc="44C46BE2" w:tentative="1">
      <w:start w:val="1"/>
      <w:numFmt w:val="bullet"/>
      <w:lvlText w:val="o"/>
      <w:lvlJc w:val="left"/>
      <w:pPr>
        <w:ind w:left="1440" w:hanging="360"/>
      </w:pPr>
      <w:rPr>
        <w:rFonts w:ascii="Courier New" w:hAnsi="Courier New" w:cs="Courier New" w:hint="default"/>
      </w:rPr>
    </w:lvl>
    <w:lvl w:ilvl="2" w:tplc="5FE6803C" w:tentative="1">
      <w:start w:val="1"/>
      <w:numFmt w:val="bullet"/>
      <w:lvlText w:val=""/>
      <w:lvlJc w:val="left"/>
      <w:pPr>
        <w:ind w:left="2160" w:hanging="360"/>
      </w:pPr>
      <w:rPr>
        <w:rFonts w:ascii="Wingdings" w:hAnsi="Wingdings" w:hint="default"/>
      </w:rPr>
    </w:lvl>
    <w:lvl w:ilvl="3" w:tplc="179E522A" w:tentative="1">
      <w:start w:val="1"/>
      <w:numFmt w:val="bullet"/>
      <w:lvlText w:val=""/>
      <w:lvlJc w:val="left"/>
      <w:pPr>
        <w:ind w:left="2880" w:hanging="360"/>
      </w:pPr>
      <w:rPr>
        <w:rFonts w:ascii="Symbol" w:hAnsi="Symbol" w:hint="default"/>
      </w:rPr>
    </w:lvl>
    <w:lvl w:ilvl="4" w:tplc="76CCED96" w:tentative="1">
      <w:start w:val="1"/>
      <w:numFmt w:val="bullet"/>
      <w:lvlText w:val="o"/>
      <w:lvlJc w:val="left"/>
      <w:pPr>
        <w:ind w:left="3600" w:hanging="360"/>
      </w:pPr>
      <w:rPr>
        <w:rFonts w:ascii="Courier New" w:hAnsi="Courier New" w:cs="Courier New" w:hint="default"/>
      </w:rPr>
    </w:lvl>
    <w:lvl w:ilvl="5" w:tplc="277037DE" w:tentative="1">
      <w:start w:val="1"/>
      <w:numFmt w:val="bullet"/>
      <w:lvlText w:val=""/>
      <w:lvlJc w:val="left"/>
      <w:pPr>
        <w:ind w:left="4320" w:hanging="360"/>
      </w:pPr>
      <w:rPr>
        <w:rFonts w:ascii="Wingdings" w:hAnsi="Wingdings" w:hint="default"/>
      </w:rPr>
    </w:lvl>
    <w:lvl w:ilvl="6" w:tplc="CD40B1D0" w:tentative="1">
      <w:start w:val="1"/>
      <w:numFmt w:val="bullet"/>
      <w:lvlText w:val=""/>
      <w:lvlJc w:val="left"/>
      <w:pPr>
        <w:ind w:left="5040" w:hanging="360"/>
      </w:pPr>
      <w:rPr>
        <w:rFonts w:ascii="Symbol" w:hAnsi="Symbol" w:hint="default"/>
      </w:rPr>
    </w:lvl>
    <w:lvl w:ilvl="7" w:tplc="2F006892" w:tentative="1">
      <w:start w:val="1"/>
      <w:numFmt w:val="bullet"/>
      <w:lvlText w:val="o"/>
      <w:lvlJc w:val="left"/>
      <w:pPr>
        <w:ind w:left="5760" w:hanging="360"/>
      </w:pPr>
      <w:rPr>
        <w:rFonts w:ascii="Courier New" w:hAnsi="Courier New" w:cs="Courier New" w:hint="default"/>
      </w:rPr>
    </w:lvl>
    <w:lvl w:ilvl="8" w:tplc="47142416"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5ADCFBDE">
      <w:start w:val="1"/>
      <w:numFmt w:val="decimal"/>
      <w:pStyle w:val="SummaryText"/>
      <w:lvlText w:val="%1."/>
      <w:lvlJc w:val="left"/>
      <w:pPr>
        <w:ind w:left="360" w:hanging="360"/>
      </w:pPr>
    </w:lvl>
    <w:lvl w:ilvl="1" w:tplc="FFAE7138" w:tentative="1">
      <w:start w:val="1"/>
      <w:numFmt w:val="lowerLetter"/>
      <w:lvlText w:val="%2."/>
      <w:lvlJc w:val="left"/>
      <w:pPr>
        <w:ind w:left="1080" w:hanging="360"/>
      </w:pPr>
    </w:lvl>
    <w:lvl w:ilvl="2" w:tplc="CFCE9A3E" w:tentative="1">
      <w:start w:val="1"/>
      <w:numFmt w:val="lowerRoman"/>
      <w:lvlText w:val="%3."/>
      <w:lvlJc w:val="right"/>
      <w:pPr>
        <w:ind w:left="1800" w:hanging="180"/>
      </w:pPr>
    </w:lvl>
    <w:lvl w:ilvl="3" w:tplc="ADA88C9E" w:tentative="1">
      <w:start w:val="1"/>
      <w:numFmt w:val="decimal"/>
      <w:lvlText w:val="%4."/>
      <w:lvlJc w:val="left"/>
      <w:pPr>
        <w:ind w:left="2520" w:hanging="360"/>
      </w:pPr>
    </w:lvl>
    <w:lvl w:ilvl="4" w:tplc="2D546404" w:tentative="1">
      <w:start w:val="1"/>
      <w:numFmt w:val="lowerLetter"/>
      <w:lvlText w:val="%5."/>
      <w:lvlJc w:val="left"/>
      <w:pPr>
        <w:ind w:left="3240" w:hanging="360"/>
      </w:pPr>
    </w:lvl>
    <w:lvl w:ilvl="5" w:tplc="7D14D404" w:tentative="1">
      <w:start w:val="1"/>
      <w:numFmt w:val="lowerRoman"/>
      <w:lvlText w:val="%6."/>
      <w:lvlJc w:val="right"/>
      <w:pPr>
        <w:ind w:left="3960" w:hanging="180"/>
      </w:pPr>
    </w:lvl>
    <w:lvl w:ilvl="6" w:tplc="1E66A9C2" w:tentative="1">
      <w:start w:val="1"/>
      <w:numFmt w:val="decimal"/>
      <w:lvlText w:val="%7."/>
      <w:lvlJc w:val="left"/>
      <w:pPr>
        <w:ind w:left="4680" w:hanging="360"/>
      </w:pPr>
    </w:lvl>
    <w:lvl w:ilvl="7" w:tplc="234A5A48" w:tentative="1">
      <w:start w:val="1"/>
      <w:numFmt w:val="lowerLetter"/>
      <w:lvlText w:val="%8."/>
      <w:lvlJc w:val="left"/>
      <w:pPr>
        <w:ind w:left="5400" w:hanging="360"/>
      </w:pPr>
    </w:lvl>
    <w:lvl w:ilvl="8" w:tplc="19D44E8A" w:tentative="1">
      <w:start w:val="1"/>
      <w:numFmt w:val="lowerRoman"/>
      <w:lvlText w:val="%9."/>
      <w:lvlJc w:val="right"/>
      <w:pPr>
        <w:ind w:left="6120" w:hanging="180"/>
      </w:pPr>
    </w:lvl>
  </w:abstractNum>
  <w:num w:numId="1" w16cid:durableId="1507746674">
    <w:abstractNumId w:val="9"/>
  </w:num>
  <w:num w:numId="2" w16cid:durableId="851335963">
    <w:abstractNumId w:val="7"/>
  </w:num>
  <w:num w:numId="3" w16cid:durableId="222378510">
    <w:abstractNumId w:val="6"/>
  </w:num>
  <w:num w:numId="4" w16cid:durableId="800730291">
    <w:abstractNumId w:val="5"/>
  </w:num>
  <w:num w:numId="5" w16cid:durableId="1485583793">
    <w:abstractNumId w:val="4"/>
  </w:num>
  <w:num w:numId="6" w16cid:durableId="2122066882">
    <w:abstractNumId w:val="14"/>
  </w:num>
  <w:num w:numId="7" w16cid:durableId="1936359144">
    <w:abstractNumId w:val="13"/>
  </w:num>
  <w:num w:numId="8" w16cid:durableId="1660183955">
    <w:abstractNumId w:val="12"/>
  </w:num>
  <w:num w:numId="9" w16cid:durableId="594362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662290">
    <w:abstractNumId w:val="16"/>
  </w:num>
  <w:num w:numId="11" w16cid:durableId="1826119722">
    <w:abstractNumId w:val="8"/>
  </w:num>
  <w:num w:numId="12" w16cid:durableId="112674358">
    <w:abstractNumId w:val="3"/>
  </w:num>
  <w:num w:numId="13" w16cid:durableId="1924992603">
    <w:abstractNumId w:val="2"/>
  </w:num>
  <w:num w:numId="14" w16cid:durableId="1740979558">
    <w:abstractNumId w:val="1"/>
  </w:num>
  <w:num w:numId="15" w16cid:durableId="353773782">
    <w:abstractNumId w:val="0"/>
  </w:num>
  <w:num w:numId="16" w16cid:durableId="285039896">
    <w:abstractNumId w:val="11"/>
  </w:num>
  <w:num w:numId="17" w16cid:durableId="772750654">
    <w:abstractNumId w:val="10"/>
  </w:num>
  <w:num w:numId="18" w16cid:durableId="1883711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63FA"/>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3C2B"/>
    <w:rsid w:val="001E291F"/>
    <w:rsid w:val="001E596A"/>
    <w:rsid w:val="001F0374"/>
    <w:rsid w:val="00233408"/>
    <w:rsid w:val="0027067B"/>
    <w:rsid w:val="00272C98"/>
    <w:rsid w:val="002A67C2"/>
    <w:rsid w:val="002C2634"/>
    <w:rsid w:val="003110D1"/>
    <w:rsid w:val="00334D8B"/>
    <w:rsid w:val="0035602E"/>
    <w:rsid w:val="003572B4"/>
    <w:rsid w:val="003817C7"/>
    <w:rsid w:val="00395125"/>
    <w:rsid w:val="003E2958"/>
    <w:rsid w:val="00422B6F"/>
    <w:rsid w:val="00423377"/>
    <w:rsid w:val="00441372"/>
    <w:rsid w:val="00467032"/>
    <w:rsid w:val="0046754A"/>
    <w:rsid w:val="004B39D5"/>
    <w:rsid w:val="004D34DD"/>
    <w:rsid w:val="004E4B52"/>
    <w:rsid w:val="004F203A"/>
    <w:rsid w:val="005336B8"/>
    <w:rsid w:val="00547B5F"/>
    <w:rsid w:val="005B04B9"/>
    <w:rsid w:val="005B68C7"/>
    <w:rsid w:val="005B7054"/>
    <w:rsid w:val="005C04C1"/>
    <w:rsid w:val="005D5981"/>
    <w:rsid w:val="005E6F8D"/>
    <w:rsid w:val="005F2AF9"/>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04E7"/>
    <w:rsid w:val="008730E9"/>
    <w:rsid w:val="008739FD"/>
    <w:rsid w:val="00893E85"/>
    <w:rsid w:val="008E372C"/>
    <w:rsid w:val="00903AB0"/>
    <w:rsid w:val="009A2161"/>
    <w:rsid w:val="009A6F54"/>
    <w:rsid w:val="009C01F6"/>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00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0584"/>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B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8604E7"/>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cfdg.gov.kh/laws-regulations/law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cfdg.gov.k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cfdg.gov.k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cfdg.gov.kh/en/pdf-view/?filename=https://www.ccfdg.gov.kh/wp-content/uploads/2024/06/Law-on-Food-Safety-English_08-06-22-.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25423aa6-70a7-4cbb-9db9-28bb205a03ed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565CA14-167E-4C52-AFA7-13CC73EB701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2024-07-02T09:50:00Z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G/SPS/N/KHM/2</vt:lpwstr>
  </property>
  <property fmtid="{D5CDD505-2E9C-101B-9397-08002B2CF9AE}" pid="3" name="TitusGUID">
    <vt:lpwstr>25423aa6-70a7-4cbb-9db9-28bb205a03ed</vt:lpwstr>
  </property>
  <property fmtid="{D5CDD505-2E9C-101B-9397-08002B2CF9AE}" pid="4" name="WTOCLASSIFICATION">
    <vt:lpwstr>WTO OFFICIAL</vt:lpwstr>
  </property>
</Properties>
</file>